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CZZH-07</w:t>
      </w:r>
      <w:bookmarkStart w:id="0" w:name="_GoBack"/>
      <w:bookmarkEnd w:id="0"/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关于光伏支架及组件安装交底的相关事宜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深圳大族公司，支架及组件已经进场，现将《中国电力投资集团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光伏电站支架及组件安装规范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》纸质版下发给你们，望你们组织员工认真学习，并落实到个人，安装人员要认真对待，按照规范要求施工，交底人及被交底人要签字确认，监理单位将按规范要求进行检查，不符合规范要求的一律返工，责任由相关责任人员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D3B4465"/>
    <w:rsid w:val="0F8534CB"/>
    <w:rsid w:val="15D64DE0"/>
    <w:rsid w:val="18426C28"/>
    <w:rsid w:val="193A069A"/>
    <w:rsid w:val="27191585"/>
    <w:rsid w:val="46031748"/>
    <w:rsid w:val="651C18F7"/>
    <w:rsid w:val="6F2D1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dcterms:modified xsi:type="dcterms:W3CDTF">2016-02-25T08:24:44Z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