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b/>
          <w:color w:val="FF9900"/>
          <w:sz w:val="36"/>
          <w:szCs w:val="36"/>
        </w:rPr>
      </w:pPr>
      <w:r>
        <w:rPr>
          <w:rFonts w:hint="eastAsia" w:ascii="宋体" w:hAnsi="宋体" w:cs="宋体"/>
          <w:color w:val="FF9900"/>
          <w:kern w:val="0"/>
          <w:sz w:val="28"/>
          <w:szCs w:val="28"/>
        </w:rPr>
        <w:t>XJSSGF-B.6-06</w:t>
      </w:r>
    </w:p>
    <w:p>
      <w:pPr>
        <w:jc w:val="center"/>
        <w:rPr>
          <w:rFonts w:hint="eastAsia" w:ascii="宋体" w:hAnsi="宋体"/>
          <w:b/>
          <w:bCs/>
          <w:sz w:val="36"/>
          <w:szCs w:val="36"/>
          <w:lang w:val="en-US" w:eastAsia="zh-CN"/>
        </w:rPr>
      </w:pPr>
      <w:r>
        <w:rPr>
          <w:rFonts w:hint="eastAsia" w:ascii="宋体" w:hAnsi="宋体"/>
          <w:b/>
          <w:bCs/>
          <w:sz w:val="36"/>
          <w:szCs w:val="36"/>
          <w:lang w:eastAsia="zh-CN"/>
        </w:rPr>
        <w:t>晶盛宜城市武当湖</w:t>
      </w:r>
      <w:r>
        <w:rPr>
          <w:rFonts w:hint="eastAsia" w:ascii="宋体" w:hAnsi="宋体"/>
          <w:b/>
          <w:bCs/>
          <w:sz w:val="36"/>
          <w:szCs w:val="36"/>
          <w:lang w:val="en-US" w:eastAsia="zh-CN"/>
        </w:rPr>
        <w:t>19.9MWp渔光互补</w:t>
      </w:r>
    </w:p>
    <w:p>
      <w:pPr>
        <w:jc w:val="both"/>
        <w:rPr>
          <w:rFonts w:hint="eastAsia" w:ascii="黑体" w:hAnsi="宋体" w:eastAsia="黑体"/>
          <w:b/>
          <w:bCs/>
          <w:sz w:val="36"/>
          <w:szCs w:val="36"/>
        </w:rPr>
      </w:pPr>
      <w:r>
        <w:rPr>
          <w:rFonts w:hint="eastAsia" w:ascii="宋体" w:hAnsi="宋体"/>
          <w:b/>
          <w:bCs/>
          <w:sz w:val="36"/>
          <w:szCs w:val="36"/>
          <w:lang w:val="en-US" w:eastAsia="zh-CN"/>
        </w:rPr>
        <w:t xml:space="preserve">              分布式光伏发电项目</w:t>
      </w:r>
    </w:p>
    <w:p>
      <w:pPr>
        <w:jc w:val="center"/>
        <w:rPr>
          <w:rFonts w:hint="eastAsia" w:ascii="宋体" w:hAnsi="宋体"/>
          <w:b/>
          <w:sz w:val="36"/>
          <w:szCs w:val="36"/>
        </w:rPr>
      </w:pPr>
      <w:r>
        <w:rPr>
          <w:rFonts w:hint="eastAsia" w:ascii="黑体" w:hAnsi="宋体" w:eastAsia="黑体"/>
          <w:bCs/>
          <w:sz w:val="36"/>
          <w:szCs w:val="36"/>
        </w:rPr>
        <w:t>监理工作联系</w:t>
      </w:r>
      <w:r>
        <w:rPr>
          <w:rFonts w:hint="eastAsia" w:ascii="宋体" w:hAnsi="宋体"/>
          <w:b/>
          <w:sz w:val="36"/>
          <w:szCs w:val="36"/>
        </w:rPr>
        <w:t>单</w:t>
      </w:r>
    </w:p>
    <w:p>
      <w:pPr>
        <w:jc w:val="both"/>
      </w:pPr>
      <w:r>
        <w:rPr>
          <w:rFonts w:hint="eastAsia" w:hAnsi="宋体"/>
          <w:lang w:val="en-US" w:eastAsia="zh-CN"/>
        </w:rPr>
        <w:t xml:space="preserve"> </w:t>
      </w:r>
      <w:r>
        <w:rPr>
          <w:rFonts w:hAnsi="宋体"/>
        </w:rPr>
        <w:t>编号：</w:t>
      </w:r>
      <w:r>
        <w:rPr>
          <w:rFonts w:hint="eastAsia" w:hAnsi="宋体"/>
          <w:lang w:val="en-US" w:eastAsia="zh-CN"/>
        </w:rPr>
        <w:t>CZZH-030</w:t>
      </w:r>
    </w:p>
    <w:tbl>
      <w:tblPr>
        <w:tblStyle w:val="4"/>
        <w:tblW w:w="9533" w:type="dxa"/>
        <w:jc w:val="center"/>
        <w:tblInd w:w="32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53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0" w:hRule="atLeast"/>
          <w:jc w:val="center"/>
        </w:trPr>
        <w:tc>
          <w:tcPr>
            <w:tcW w:w="9533" w:type="dxa"/>
            <w:vAlign w:val="center"/>
          </w:tcPr>
          <w:p>
            <w:pPr>
              <w:spacing w:line="400" w:lineRule="exact"/>
              <w:rPr>
                <w:rFonts w:ascii="宋体" w:hAnsi="宋体"/>
                <w:bCs/>
                <w:sz w:val="24"/>
                <w:szCs w:val="24"/>
              </w:rPr>
            </w:pPr>
          </w:p>
          <w:p>
            <w:pPr>
              <w:spacing w:line="400" w:lineRule="exact"/>
              <w:rPr>
                <w:rFonts w:hint="eastAsia" w:ascii="宋体" w:hAnsi="宋体"/>
                <w:sz w:val="24"/>
                <w:szCs w:val="24"/>
              </w:rPr>
            </w:pPr>
            <w:r>
              <w:rPr>
                <w:rFonts w:ascii="宋体" w:hAnsi="宋体"/>
                <w:bCs/>
                <w:sz w:val="24"/>
                <w:szCs w:val="24"/>
              </w:rPr>
              <w:t>致：</w:t>
            </w:r>
            <w:r>
              <w:rPr>
                <w:rFonts w:ascii="宋体" w:hAnsi="宋体"/>
                <w:sz w:val="24"/>
                <w:szCs w:val="24"/>
                <w:u w:val="single"/>
              </w:rPr>
              <w:t xml:space="preserve"> </w:t>
            </w:r>
            <w:r>
              <w:rPr>
                <w:rFonts w:hint="eastAsia" w:ascii="宋体" w:hAnsi="宋体"/>
                <w:sz w:val="24"/>
                <w:szCs w:val="24"/>
                <w:u w:val="single"/>
                <w:lang w:eastAsia="zh-CN"/>
              </w:rPr>
              <w:t>深圳大族能联新能源科技股份有限公司</w:t>
            </w:r>
            <w:r>
              <w:rPr>
                <w:rFonts w:ascii="宋体" w:hAnsi="宋体"/>
                <w:sz w:val="24"/>
                <w:szCs w:val="24"/>
                <w:u w:val="single"/>
              </w:rPr>
              <w:t xml:space="preserve">  </w:t>
            </w:r>
            <w:r>
              <w:rPr>
                <w:rFonts w:hint="eastAsia" w:ascii="宋体" w:hAnsi="宋体"/>
                <w:sz w:val="24"/>
                <w:szCs w:val="24"/>
              </w:rPr>
              <w:t>（</w:t>
            </w:r>
            <w:r>
              <w:rPr>
                <w:rFonts w:hint="eastAsia" w:ascii="宋体" w:hAnsi="宋体"/>
                <w:sz w:val="24"/>
                <w:szCs w:val="24"/>
                <w:lang w:eastAsia="zh-CN"/>
              </w:rPr>
              <w:t>施工</w:t>
            </w:r>
            <w:r>
              <w:rPr>
                <w:rFonts w:hint="eastAsia" w:ascii="宋体" w:hAnsi="宋体"/>
                <w:sz w:val="24"/>
                <w:szCs w:val="24"/>
              </w:rPr>
              <w:t>单位）</w:t>
            </w:r>
          </w:p>
          <w:p>
            <w:pPr>
              <w:spacing w:line="400" w:lineRule="exact"/>
              <w:rPr>
                <w:rFonts w:hint="eastAsia" w:ascii="宋体" w:hAnsi="宋体"/>
                <w:sz w:val="24"/>
                <w:szCs w:val="24"/>
              </w:rPr>
            </w:pPr>
          </w:p>
          <w:p>
            <w:pPr>
              <w:spacing w:line="400" w:lineRule="exact"/>
              <w:rPr>
                <w:rFonts w:ascii="宋体" w:hAnsi="宋体"/>
                <w:bCs/>
                <w:sz w:val="24"/>
                <w:szCs w:val="24"/>
              </w:rPr>
            </w:pPr>
            <w:r>
              <w:rPr>
                <w:rFonts w:hint="eastAsia" w:ascii="宋体" w:hAnsi="宋体"/>
                <w:bCs/>
                <w:sz w:val="24"/>
                <w:szCs w:val="24"/>
              </w:rPr>
              <w:t>主题：</w:t>
            </w:r>
            <w:r>
              <w:rPr>
                <w:rFonts w:hint="eastAsia" w:ascii="宋体" w:hAnsi="宋体"/>
                <w:bCs/>
                <w:sz w:val="24"/>
                <w:szCs w:val="24"/>
                <w:lang w:eastAsia="zh-CN"/>
              </w:rPr>
              <w:t>关于倒送电安全的相关事宜</w:t>
            </w:r>
          </w:p>
          <w:p>
            <w:pPr>
              <w:numPr>
                <w:ilvl w:val="0"/>
                <w:numId w:val="0"/>
              </w:numPr>
              <w:topLinePunct/>
              <w:rPr>
                <w:rFonts w:ascii="宋体" w:hAnsi="宋体"/>
                <w:bCs/>
                <w:sz w:val="24"/>
                <w:szCs w:val="24"/>
              </w:rPr>
            </w:pPr>
          </w:p>
          <w:p>
            <w:pPr>
              <w:numPr>
                <w:ilvl w:val="0"/>
                <w:numId w:val="0"/>
              </w:numPr>
              <w:topLinePunct/>
              <w:rPr>
                <w:rFonts w:hint="eastAsia" w:ascii="宋体" w:hAnsi="宋体"/>
                <w:bCs/>
                <w:sz w:val="24"/>
                <w:szCs w:val="24"/>
              </w:rPr>
            </w:pPr>
            <w:r>
              <w:rPr>
                <w:rFonts w:ascii="宋体" w:hAnsi="宋体"/>
                <w:bCs/>
                <w:sz w:val="24"/>
                <w:szCs w:val="24"/>
              </w:rPr>
              <w:t>内容</w:t>
            </w:r>
            <w:r>
              <w:rPr>
                <w:rFonts w:hint="eastAsia" w:ascii="宋体" w:hAnsi="宋体"/>
                <w:bCs/>
                <w:sz w:val="24"/>
                <w:szCs w:val="24"/>
              </w:rPr>
              <w:t>：</w:t>
            </w:r>
          </w:p>
          <w:p>
            <w:pPr>
              <w:numPr>
                <w:ilvl w:val="0"/>
                <w:numId w:val="0"/>
              </w:numPr>
              <w:topLinePunct/>
              <w:ind w:firstLine="480"/>
              <w:rPr>
                <w:rFonts w:hint="eastAsia" w:ascii="宋体" w:hAnsi="宋体"/>
                <w:bCs/>
                <w:sz w:val="24"/>
                <w:szCs w:val="24"/>
                <w:lang w:val="en-US" w:eastAsia="zh-CN"/>
              </w:rPr>
            </w:pPr>
            <w:r>
              <w:rPr>
                <w:rFonts w:hint="eastAsia" w:ascii="宋体" w:hAnsi="宋体"/>
                <w:bCs/>
                <w:sz w:val="24"/>
                <w:szCs w:val="24"/>
                <w:lang w:val="en-US" w:eastAsia="zh-CN"/>
              </w:rPr>
              <w:t>贵司决定4月28日进行并网倒送电工作，监理单位要求贵单位组织相关部门认真核查相关设备情况并签字确认，编制倒送电实施方案及安全保证措施并报送监理单位，</w:t>
            </w:r>
            <w:r>
              <w:rPr>
                <w:rFonts w:hint="eastAsia" w:ascii="宋体" w:hAnsi="宋体" w:eastAsia="宋体" w:cs="宋体"/>
                <w:color w:val="000000"/>
                <w:kern w:val="0"/>
                <w:sz w:val="24"/>
                <w:szCs w:val="24"/>
                <w:lang w:eastAsia="zh-CN"/>
              </w:rPr>
              <w:t>认真组织</w:t>
            </w:r>
            <w:r>
              <w:rPr>
                <w:rFonts w:hint="eastAsia" w:ascii="宋体" w:hAnsi="宋体" w:eastAsia="宋体" w:cs="宋体"/>
                <w:color w:val="000000"/>
                <w:kern w:val="0"/>
                <w:sz w:val="24"/>
                <w:szCs w:val="24"/>
              </w:rPr>
              <w:t>光伏并网发电区域的安全、保卫、消防等项工作</w:t>
            </w:r>
            <w:bookmarkStart w:id="0" w:name="_GoBack"/>
            <w:bookmarkEnd w:id="0"/>
            <w:r>
              <w:rPr>
                <w:rFonts w:hint="eastAsia" w:ascii="宋体" w:hAnsi="宋体" w:eastAsia="宋体" w:cs="宋体"/>
                <w:color w:val="000000"/>
                <w:kern w:val="0"/>
                <w:sz w:val="24"/>
                <w:szCs w:val="24"/>
                <w:lang w:eastAsia="zh-CN"/>
              </w:rPr>
              <w:t>，</w:t>
            </w:r>
            <w:r>
              <w:rPr>
                <w:rFonts w:hint="eastAsia" w:ascii="宋体" w:hAnsi="宋体" w:eastAsia="宋体" w:cs="宋体"/>
                <w:bCs/>
                <w:sz w:val="24"/>
                <w:szCs w:val="24"/>
                <w:lang w:val="en-US" w:eastAsia="zh-CN"/>
              </w:rPr>
              <w:t>确保倒送电工作安全</w:t>
            </w:r>
            <w:r>
              <w:rPr>
                <w:rFonts w:hint="eastAsia" w:ascii="宋体" w:hAnsi="宋体"/>
                <w:bCs/>
                <w:sz w:val="24"/>
                <w:szCs w:val="24"/>
                <w:lang w:val="en-US" w:eastAsia="zh-CN"/>
              </w:rPr>
              <w:t>进行。</w:t>
            </w:r>
          </w:p>
          <w:p>
            <w:pPr>
              <w:numPr>
                <w:ilvl w:val="0"/>
                <w:numId w:val="0"/>
              </w:numPr>
              <w:topLinePunct/>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ind w:firstLine="480"/>
              <w:rPr>
                <w:rFonts w:hint="eastAsia" w:ascii="宋体" w:hAnsi="宋体"/>
                <w:bCs/>
                <w:sz w:val="24"/>
                <w:szCs w:val="24"/>
                <w:lang w:val="en-US" w:eastAsia="zh-CN"/>
              </w:rPr>
            </w:pPr>
          </w:p>
          <w:p>
            <w:pPr>
              <w:numPr>
                <w:ilvl w:val="0"/>
                <w:numId w:val="0"/>
              </w:numPr>
              <w:topLinePunct/>
              <w:rPr>
                <w:rFonts w:hint="eastAsia" w:ascii="宋体" w:hAnsi="宋体"/>
                <w:bCs/>
                <w:sz w:val="24"/>
                <w:szCs w:val="24"/>
                <w:lang w:val="en-US" w:eastAsia="zh-CN"/>
              </w:rPr>
            </w:pPr>
          </w:p>
          <w:p>
            <w:pPr>
              <w:numPr>
                <w:ilvl w:val="0"/>
                <w:numId w:val="0"/>
              </w:numPr>
              <w:topLinePunct/>
              <w:rPr>
                <w:rFonts w:hint="eastAsia" w:ascii="宋体" w:hAnsi="宋体"/>
                <w:bCs/>
                <w:sz w:val="24"/>
                <w:szCs w:val="24"/>
                <w:lang w:val="en-US" w:eastAsia="zh-CN"/>
              </w:rPr>
            </w:pPr>
          </w:p>
          <w:p>
            <w:pPr>
              <w:numPr>
                <w:ilvl w:val="0"/>
                <w:numId w:val="0"/>
              </w:numPr>
              <w:topLinePunct/>
              <w:rPr>
                <w:rFonts w:ascii="宋体" w:hAnsi="宋体"/>
                <w:bCs/>
                <w:sz w:val="24"/>
                <w:szCs w:val="24"/>
              </w:rPr>
            </w:pPr>
            <w:r>
              <w:rPr>
                <w:rFonts w:hint="eastAsia" w:ascii="宋体" w:hAnsi="宋体"/>
                <w:bCs/>
                <w:sz w:val="24"/>
                <w:szCs w:val="24"/>
                <w:lang w:val="en-US" w:eastAsia="zh-CN"/>
              </w:rPr>
              <w:t xml:space="preserve">     </w:t>
            </w:r>
          </w:p>
          <w:p>
            <w:pPr>
              <w:spacing w:line="400" w:lineRule="exact"/>
              <w:ind w:firstLine="4395" w:firstLineChars="1800"/>
              <w:rPr>
                <w:rFonts w:hint="eastAsia" w:ascii="宋体" w:hAnsi="宋体"/>
                <w:bCs/>
                <w:sz w:val="24"/>
                <w:szCs w:val="24"/>
              </w:rPr>
            </w:pPr>
            <w:r>
              <w:rPr>
                <w:rFonts w:ascii="宋体" w:hAnsi="宋体"/>
                <w:bCs/>
                <w:sz w:val="24"/>
                <w:szCs w:val="24"/>
              </w:rPr>
              <w:t>项目监理机构（章）</w:t>
            </w:r>
            <w:r>
              <w:rPr>
                <w:rFonts w:hint="eastAsia" w:ascii="宋体" w:hAnsi="宋体"/>
                <w:bCs/>
                <w:sz w:val="24"/>
                <w:szCs w:val="24"/>
              </w:rPr>
              <w:t>：</w:t>
            </w:r>
          </w:p>
          <w:p>
            <w:pPr>
              <w:spacing w:line="400" w:lineRule="exact"/>
              <w:ind w:firstLine="4412" w:firstLineChars="1807"/>
              <w:rPr>
                <w:rFonts w:hint="eastAsia" w:ascii="宋体" w:hAnsi="宋体"/>
                <w:bCs/>
                <w:sz w:val="24"/>
                <w:szCs w:val="24"/>
                <w:u w:val="single"/>
              </w:rPr>
            </w:pPr>
            <w:r>
              <w:rPr>
                <w:rFonts w:ascii="宋体" w:hAnsi="宋体"/>
                <w:bCs/>
                <w:sz w:val="24"/>
                <w:szCs w:val="24"/>
              </w:rPr>
              <w:t>专业监理工程师：</w:t>
            </w:r>
            <w:r>
              <w:rPr>
                <w:rFonts w:ascii="宋体" w:hAnsi="宋体"/>
                <w:bCs/>
                <w:sz w:val="24"/>
                <w:szCs w:val="24"/>
                <w:u w:val="single"/>
              </w:rPr>
              <w:t xml:space="preserve">             </w:t>
            </w:r>
          </w:p>
          <w:p>
            <w:pPr>
              <w:spacing w:line="400" w:lineRule="exact"/>
              <w:ind w:firstLine="4412" w:firstLineChars="1807"/>
              <w:rPr>
                <w:rFonts w:hint="eastAsia" w:ascii="宋体" w:hAnsi="宋体"/>
                <w:bCs/>
                <w:sz w:val="24"/>
                <w:szCs w:val="24"/>
              </w:rPr>
            </w:pPr>
            <w:r>
              <w:rPr>
                <w:rFonts w:ascii="宋体" w:hAnsi="宋体"/>
                <w:bCs/>
                <w:sz w:val="24"/>
                <w:szCs w:val="24"/>
              </w:rPr>
              <w:t>总监理工程师</w:t>
            </w:r>
            <w:r>
              <w:rPr>
                <w:rFonts w:hint="eastAsia" w:ascii="宋体" w:hAnsi="宋体"/>
                <w:bCs/>
                <w:sz w:val="24"/>
                <w:szCs w:val="24"/>
              </w:rPr>
              <w:t>：</w:t>
            </w:r>
            <w:r>
              <w:rPr>
                <w:rFonts w:ascii="宋体" w:hAnsi="宋体"/>
                <w:bCs/>
                <w:sz w:val="24"/>
                <w:szCs w:val="24"/>
                <w:u w:val="single"/>
              </w:rPr>
              <w:t xml:space="preserve">             </w:t>
            </w:r>
          </w:p>
          <w:p>
            <w:pPr>
              <w:spacing w:line="400" w:lineRule="exact"/>
              <w:ind w:firstLine="4412" w:firstLineChars="1807"/>
              <w:rPr>
                <w:rFonts w:ascii="宋体" w:hAnsi="宋体"/>
                <w:bCs/>
                <w:sz w:val="24"/>
                <w:szCs w:val="24"/>
              </w:rPr>
            </w:pPr>
            <w:r>
              <w:rPr>
                <w:rFonts w:ascii="宋体" w:hAnsi="宋体"/>
                <w:bCs/>
                <w:sz w:val="24"/>
                <w:szCs w:val="24"/>
              </w:rPr>
              <w:t xml:space="preserve">日    </w:t>
            </w:r>
            <w:r>
              <w:rPr>
                <w:rFonts w:hint="eastAsia" w:ascii="宋体" w:hAnsi="宋体"/>
                <w:bCs/>
                <w:sz w:val="24"/>
                <w:szCs w:val="24"/>
              </w:rPr>
              <w:t xml:space="preserve">   </w:t>
            </w:r>
            <w:r>
              <w:rPr>
                <w:rFonts w:ascii="宋体" w:hAnsi="宋体"/>
                <w:bCs/>
                <w:sz w:val="24"/>
                <w:szCs w:val="24"/>
              </w:rPr>
              <w:t xml:space="preserve"> 期：</w:t>
            </w:r>
            <w:r>
              <w:rPr>
                <w:rFonts w:ascii="宋体" w:hAnsi="宋体"/>
                <w:bCs/>
                <w:sz w:val="24"/>
                <w:szCs w:val="24"/>
                <w:u w:val="single"/>
              </w:rPr>
              <w:t xml:space="preserve">              </w:t>
            </w:r>
          </w:p>
        </w:tc>
      </w:tr>
    </w:tbl>
    <w:p>
      <w:pPr>
        <w:spacing w:line="320" w:lineRule="exact"/>
        <w:rPr>
          <w:rFonts w:hint="eastAsia" w:ascii="宋体" w:hAnsi="宋体"/>
          <w:sz w:val="18"/>
          <w:szCs w:val="18"/>
        </w:rPr>
      </w:pPr>
      <w:r>
        <w:rPr>
          <w:rFonts w:hAnsi="宋体"/>
          <w:sz w:val="18"/>
          <w:szCs w:val="18"/>
        </w:rPr>
        <w:t>填报说明：</w:t>
      </w:r>
      <w:r>
        <w:rPr>
          <w:rFonts w:ascii="宋体" w:hAnsi="宋体"/>
          <w:sz w:val="18"/>
          <w:szCs w:val="18"/>
        </w:rPr>
        <w:t>本表一式</w:t>
      </w:r>
      <w:r>
        <w:rPr>
          <w:rFonts w:ascii="宋体" w:hAnsi="宋体"/>
          <w:sz w:val="18"/>
          <w:szCs w:val="18"/>
          <w:u w:val="single"/>
        </w:rPr>
        <w:t xml:space="preserve"> </w:t>
      </w:r>
      <w:r>
        <w:rPr>
          <w:rFonts w:hint="eastAsia" w:ascii="宋体" w:hAnsi="宋体"/>
          <w:sz w:val="18"/>
          <w:szCs w:val="18"/>
          <w:u w:val="single"/>
        </w:rPr>
        <w:t xml:space="preserve">  </w:t>
      </w:r>
      <w:r>
        <w:rPr>
          <w:rFonts w:ascii="宋体" w:hAnsi="宋体"/>
          <w:sz w:val="18"/>
          <w:szCs w:val="18"/>
          <w:u w:val="single"/>
        </w:rPr>
        <w:t xml:space="preserve"> </w:t>
      </w:r>
      <w:r>
        <w:rPr>
          <w:rFonts w:ascii="宋体" w:hAnsi="宋体"/>
          <w:sz w:val="18"/>
          <w:szCs w:val="18"/>
        </w:rPr>
        <w:t>份，由项目监理机构填</w:t>
      </w:r>
      <w:r>
        <w:rPr>
          <w:rFonts w:hint="eastAsia" w:ascii="宋体" w:hAnsi="宋体"/>
          <w:sz w:val="18"/>
          <w:szCs w:val="18"/>
        </w:rPr>
        <w:t>写</w:t>
      </w:r>
      <w:r>
        <w:rPr>
          <w:rFonts w:ascii="宋体" w:hAnsi="宋体"/>
          <w:sz w:val="18"/>
          <w:szCs w:val="18"/>
        </w:rPr>
        <w:t>，</w:t>
      </w:r>
      <w:r>
        <w:rPr>
          <w:rFonts w:hint="eastAsia" w:ascii="宋体" w:hAnsi="宋体"/>
          <w:sz w:val="18"/>
          <w:szCs w:val="18"/>
        </w:rPr>
        <w:t>抄送相关单位。</w:t>
      </w:r>
    </w:p>
    <w:p>
      <w:pPr>
        <w:spacing w:line="240" w:lineRule="auto"/>
        <w:rPr>
          <w:rFonts w:hint="eastAsia" w:ascii="宋体" w:hAnsi="宋体" w:eastAsiaTheme="minorEastAsia"/>
          <w:sz w:val="18"/>
          <w:szCs w:val="1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10002FF" w:usb1="4000ACFF" w:usb2="00000009"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10002FF" w:usb1="4000ACFF" w:usb2="00000009"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10002FF" w:usb1="4000ACFF" w:usb2="00000009"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10" w:usb3="00000000" w:csb0="00040000" w:csb1="00000000"/>
  </w:font>
  <w:font w:name="Courier New">
    <w:panose1 w:val="02070309020205020404"/>
    <w:charset w:val="00"/>
    <w:family w:val="modern"/>
    <w:pitch w:val="default"/>
    <w:sig w:usb0="E0002AFF" w:usb1="C0007843" w:usb2="00000009" w:usb3="00000000" w:csb0="400001FF" w:csb1="FFFF0000"/>
  </w:font>
  <w:font w:name="方正小标宋简体">
    <w:altName w:val="微软雅黑"/>
    <w:panose1 w:val="02010601030101010101"/>
    <w:charset w:val="86"/>
    <w:family w:val="auto"/>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Lucida Grande">
    <w:altName w:val="RomanS"/>
    <w:panose1 w:val="00000000000000000000"/>
    <w:charset w:val="00"/>
    <w:family w:val="auto"/>
    <w:pitch w:val="default"/>
    <w:sig w:usb0="00000000" w:usb1="00000000" w:usb2="00000000" w:usb3="00000000" w:csb0="00000000" w:csb1="00000000"/>
  </w:font>
  <w:font w:name="RomanS">
    <w:panose1 w:val="02000400000000000000"/>
    <w:charset w:val="00"/>
    <w:family w:val="auto"/>
    <w:pitch w:val="default"/>
    <w:sig w:usb0="00000207" w:usb1="00000000" w:usb2="00000000" w:usb3="00000000" w:csb0="000001FF" w:csb1="00000000"/>
  </w:font>
  <w:font w:name="仿宋">
    <w:panose1 w:val="02010609060101010101"/>
    <w:charset w:val="86"/>
    <w:family w:val="modern"/>
    <w:pitch w:val="default"/>
    <w:sig w:usb0="800002BF" w:usb1="38CF7CFA" w:usb2="00000016" w:usb3="00000000" w:csb0="00040001" w:csb1="00000000"/>
  </w:font>
  <w:font w:name="黑体">
    <w:panose1 w:val="02010609060101010101"/>
    <w:charset w:val="86"/>
    <w:family w:val="swiss"/>
    <w:pitch w:val="default"/>
    <w:sig w:usb0="800002BF" w:usb1="38CF7CFA" w:usb2="00000016" w:usb3="00000000" w:csb0="00040001" w:csb1="00000000"/>
  </w:font>
  <w:font w:name="Tahoma">
    <w:panose1 w:val="020B0604030504040204"/>
    <w:charset w:val="00"/>
    <w:family w:val="decorative"/>
    <w:pitch w:val="default"/>
    <w:sig w:usb0="E1002EFF" w:usb1="C000605B" w:usb2="00000029" w:usb3="00000000" w:csb0="200101FF" w:csb1="20280000"/>
  </w:font>
  <w:font w:name="仿宋_GB2312">
    <w:altName w:val="仿宋"/>
    <w:panose1 w:val="00000000000000000000"/>
    <w:charset w:val="86"/>
    <w:family w:val="swiss"/>
    <w:pitch w:val="default"/>
    <w:sig w:usb0="00000000" w:usb1="00000000" w:usb2="00000000" w:usb3="00000000" w:csb0="00040000" w:csb1="00000000"/>
  </w:font>
  <w:font w:name="仿宋">
    <w:panose1 w:val="02010609060101010101"/>
    <w:charset w:val="86"/>
    <w:family w:val="swiss"/>
    <w:pitch w:val="default"/>
    <w:sig w:usb0="800002BF" w:usb1="38CF7CFA" w:usb2="00000016" w:usb3="00000000" w:csb0="00040001" w:csb1="00000000"/>
  </w:font>
  <w:font w:name="Calibri Light">
    <w:altName w:val="Calibri"/>
    <w:panose1 w:val="020F0302020204030204"/>
    <w:charset w:val="00"/>
    <w:family w:val="auto"/>
    <w:pitch w:val="default"/>
    <w:sig w:usb0="00000000" w:usb1="00000000" w:usb2="00000000" w:usb3="00000000" w:csb0="2000019F" w:csb1="00000000"/>
  </w:font>
  <w:font w:name="仿宋_GB2312">
    <w:altName w:val="仿宋"/>
    <w:panose1 w:val="02010609030101010101"/>
    <w:charset w:val="86"/>
    <w:family w:val="swiss"/>
    <w:pitch w:val="default"/>
    <w:sig w:usb0="00000000" w:usb1="00000000" w:usb2="00000010" w:usb3="00000000" w:csb0="00040000" w:csb1="00000000"/>
  </w:font>
  <w:font w:name="Courier New">
    <w:panose1 w:val="02070309020205020404"/>
    <w:charset w:val="00"/>
    <w:family w:val="swiss"/>
    <w:pitch w:val="default"/>
    <w:sig w:usb0="E0002AFF" w:usb1="C0007843" w:usb2="00000009" w:usb3="00000000" w:csb0="400001FF" w:csb1="FFFF0000"/>
  </w:font>
  <w:font w:name="Verdana">
    <w:panose1 w:val="020B0604030504040204"/>
    <w:charset w:val="00"/>
    <w:family w:val="decorative"/>
    <w:pitch w:val="default"/>
    <w:sig w:usb0="A10006FF" w:usb1="4000205B" w:usb2="00000010" w:usb3="00000000" w:csb0="2000019F" w:csb1="00000000"/>
  </w:font>
  <w:font w:name="黑体">
    <w:panose1 w:val="02010609060101010101"/>
    <w:charset w:val="86"/>
    <w:family w:val="decorative"/>
    <w:pitch w:val="default"/>
    <w:sig w:usb0="800002BF" w:usb1="38CF7CFA" w:usb2="00000016" w:usb3="00000000" w:csb0="00040001" w:csb1="00000000"/>
  </w:font>
  <w:font w:name="Tahoma">
    <w:panose1 w:val="020B0604030504040204"/>
    <w:charset w:val="00"/>
    <w:family w:val="roman"/>
    <w:pitch w:val="default"/>
    <w:sig w:usb0="E1002EFF" w:usb1="C000605B" w:usb2="00000029" w:usb3="00000000" w:csb0="200101FF" w:csb1="20280000"/>
  </w:font>
  <w:font w:name="仿宋_GB2312">
    <w:altName w:val="仿宋"/>
    <w:panose1 w:val="00000000000000000000"/>
    <w:charset w:val="86"/>
    <w:family w:val="decorative"/>
    <w:pitch w:val="default"/>
    <w:sig w:usb0="00000000" w:usb1="00000000" w:usb2="00000000" w:usb3="00000000" w:csb0="00040000" w:csb1="00000000"/>
  </w:font>
  <w:font w:name="仿宋">
    <w:panose1 w:val="02010609060101010101"/>
    <w:charset w:val="86"/>
    <w:family w:val="decorative"/>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1C18F7"/>
    <w:rsid w:val="00953483"/>
    <w:rsid w:val="06FF14E8"/>
    <w:rsid w:val="0AD9681D"/>
    <w:rsid w:val="0D3B4465"/>
    <w:rsid w:val="0D9F0166"/>
    <w:rsid w:val="0E8B08D1"/>
    <w:rsid w:val="0F8534CB"/>
    <w:rsid w:val="11F51775"/>
    <w:rsid w:val="15D64DE0"/>
    <w:rsid w:val="17433600"/>
    <w:rsid w:val="18426C28"/>
    <w:rsid w:val="18B827F2"/>
    <w:rsid w:val="193A069A"/>
    <w:rsid w:val="261D24D8"/>
    <w:rsid w:val="27191585"/>
    <w:rsid w:val="2B762831"/>
    <w:rsid w:val="2CCB3D18"/>
    <w:rsid w:val="2D5A1B9B"/>
    <w:rsid w:val="3160153D"/>
    <w:rsid w:val="342349F7"/>
    <w:rsid w:val="34237F0C"/>
    <w:rsid w:val="345101E3"/>
    <w:rsid w:val="40644554"/>
    <w:rsid w:val="421E5EA0"/>
    <w:rsid w:val="43E17E02"/>
    <w:rsid w:val="46031748"/>
    <w:rsid w:val="4605799F"/>
    <w:rsid w:val="49710AE8"/>
    <w:rsid w:val="4E9D76BB"/>
    <w:rsid w:val="513F50D1"/>
    <w:rsid w:val="515D1049"/>
    <w:rsid w:val="55927B6C"/>
    <w:rsid w:val="55B97858"/>
    <w:rsid w:val="57F427D6"/>
    <w:rsid w:val="585478E2"/>
    <w:rsid w:val="5BB61768"/>
    <w:rsid w:val="5D896959"/>
    <w:rsid w:val="5DA478D3"/>
    <w:rsid w:val="651C18F7"/>
    <w:rsid w:val="69D6418F"/>
    <w:rsid w:val="6B0E5E86"/>
    <w:rsid w:val="6F2D14EE"/>
    <w:rsid w:val="71666A96"/>
    <w:rsid w:val="722832E4"/>
    <w:rsid w:val="74E739E2"/>
    <w:rsid w:val="75EB31C7"/>
    <w:rsid w:val="76382C19"/>
    <w:rsid w:val="78307B05"/>
    <w:rsid w:val="79BE5978"/>
    <w:rsid w:val="7E865F07"/>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1"/>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2016-01-28T00:35:00Z</dcterms:created>
  <dc:creator>Administrator</dc:creator>
  <cp:lastModifiedBy>Administrator</cp:lastModifiedBy>
  <cp:lastPrinted>2016-04-27T03:15:48Z</cp:lastPrinted>
  <dcterms:modified xsi:type="dcterms:W3CDTF">2016-04-27T03:19:20Z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