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2130D8">
      <w:pPr>
        <w:jc w:val="center"/>
        <w:rPr>
          <w:rFonts w:ascii="宋体" w:hAnsi="宋体"/>
          <w:b/>
          <w:sz w:val="32"/>
        </w:rPr>
      </w:pPr>
      <w:r>
        <w:rPr>
          <w:rFonts w:hint="eastAsia" w:ascii="宋体" w:hAnsi="宋体" w:eastAsia="宋体" w:cs="宋体"/>
          <w:b/>
          <w:sz w:val="32"/>
        </w:rPr>
        <w:t>监理</w:t>
      </w:r>
      <w:r>
        <w:rPr>
          <w:rFonts w:hint="eastAsia" w:ascii="宋体" w:hAnsi="宋体" w:eastAsia="宋体" w:cs="宋体"/>
          <w:b/>
          <w:sz w:val="32"/>
          <w:lang w:eastAsia="zh-CN"/>
        </w:rPr>
        <w:t>工程师通知</w:t>
      </w:r>
      <w:r>
        <w:rPr>
          <w:rFonts w:hint="eastAsia" w:ascii="宋体" w:hAnsi="宋体" w:eastAsia="宋体" w:cs="宋体"/>
          <w:b/>
          <w:sz w:val="32"/>
        </w:rPr>
        <w:t>单</w:t>
      </w:r>
      <w:r>
        <w:rPr>
          <w:rFonts w:ascii="宋体" w:hAnsi="宋体"/>
          <w:b/>
          <w:sz w:val="32"/>
        </w:rPr>
        <w:t xml:space="preserve"> </w:t>
      </w:r>
      <w:r>
        <w:rPr>
          <w:rFonts w:hint="eastAsia" w:ascii="宋体" w:hAnsi="宋体"/>
          <w:sz w:val="28"/>
          <w:szCs w:val="28"/>
          <w:lang w:val="en-US" w:eastAsia="zh-CN"/>
        </w:rPr>
        <w:t>B.07</w:t>
      </w:r>
    </w:p>
    <w:p w14:paraId="5E8542CF">
      <w:pPr>
        <w:spacing w:before="50"/>
        <w:jc w:val="left"/>
        <w:rPr>
          <w:rFonts w:ascii="宋体" w:hAnsi="宋体"/>
        </w:rPr>
      </w:pPr>
      <w:r>
        <w:rPr>
          <w:rFonts w:hint="eastAsia" w:ascii="宋体" w:hAnsi="宋体" w:eastAsia="宋体" w:cs="宋体"/>
          <w:sz w:val="24"/>
          <w:szCs w:val="24"/>
        </w:rPr>
        <w:t>工程名称：</w:t>
      </w:r>
      <w:r>
        <w:rPr>
          <w:rFonts w:hint="eastAsia" w:ascii="宋体" w:hAnsi="宋体" w:cs="宋体"/>
          <w:sz w:val="24"/>
          <w:lang w:eastAsia="zh-CN"/>
        </w:rPr>
        <w:t>风帆（扬州）有限责任公司用户侧 2MW/6MWh储能电站项目</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编</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号：</w:t>
      </w:r>
      <w:r>
        <w:rPr>
          <w:rFonts w:hint="eastAsia" w:ascii="宋体" w:hAnsi="宋体" w:cs="宋体"/>
          <w:sz w:val="24"/>
          <w:szCs w:val="24"/>
          <w:lang w:val="en-US" w:eastAsia="zh-CN"/>
        </w:rPr>
        <w:t>FFCN</w:t>
      </w:r>
      <w:r>
        <w:rPr>
          <w:rFonts w:hint="eastAsia" w:ascii="宋体" w:hAnsi="宋体" w:eastAsia="宋体" w:cs="宋体"/>
          <w:sz w:val="24"/>
          <w:szCs w:val="24"/>
          <w:lang w:val="en-US" w:eastAsia="zh-CN"/>
        </w:rPr>
        <w:t>-JL-TZD-00</w:t>
      </w:r>
      <w:r>
        <w:rPr>
          <w:rFonts w:hint="eastAsia" w:ascii="宋体" w:hAnsi="宋体" w:cs="宋体"/>
          <w:sz w:val="24"/>
          <w:szCs w:val="24"/>
          <w:lang w:val="en-US" w:eastAsia="zh-CN"/>
        </w:rPr>
        <w:t>2</w:t>
      </w:r>
      <w:bookmarkStart w:id="0" w:name="_GoBack"/>
      <w:bookmarkEnd w:id="0"/>
      <w:r>
        <w:rPr>
          <w:rFonts w:ascii="宋体" w:hAnsi="宋体"/>
        </w:rPr>
        <w:t xml:space="preserve">                    </w:t>
      </w:r>
      <w:r>
        <w:rPr>
          <w:rFonts w:hint="eastAsia" w:ascii="宋体" w:hAnsi="宋体"/>
          <w:lang w:val="en-US" w:eastAsia="zh-CN"/>
        </w:rPr>
        <w:t xml:space="preserve">     </w:t>
      </w:r>
      <w:r>
        <w:rPr>
          <w:rFonts w:ascii="宋体" w:hAnsi="宋体"/>
        </w:rPr>
        <w:t xml:space="preserve"> </w:t>
      </w:r>
    </w:p>
    <w:tbl>
      <w:tblPr>
        <w:tblStyle w:val="2"/>
        <w:tblW w:w="9740" w:type="dxa"/>
        <w:tblInd w:w="-182"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9740"/>
      </w:tblGrid>
      <w:tr w14:paraId="44D41801">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12904" w:hRule="atLeast"/>
        </w:trPr>
        <w:tc>
          <w:tcPr>
            <w:tcW w:w="9740" w:type="dxa"/>
            <w:vAlign w:val="top"/>
          </w:tcPr>
          <w:p w14:paraId="6AA22D78">
            <w:pPr>
              <w:pStyle w:val="5"/>
              <w:spacing w:line="360" w:lineRule="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主  送：扬州利扬电建集团有限公司                                         </w:t>
            </w:r>
          </w:p>
          <w:p w14:paraId="31845961">
            <w:pPr>
              <w:spacing w:before="50" w:line="360" w:lineRule="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抄  送：风帆储能科技有限公司</w:t>
            </w:r>
          </w:p>
          <w:p w14:paraId="4A13C4DB">
            <w:pPr>
              <w:spacing w:before="50" w:line="360" w:lineRule="auto"/>
              <w:rPr>
                <w:rFonts w:hint="eastAsia" w:ascii="宋体" w:hAnsi="宋体" w:eastAsia="宋体" w:cs="宋体"/>
                <w:sz w:val="24"/>
                <w:szCs w:val="24"/>
                <w:lang w:val="en-US" w:eastAsia="zh-CN"/>
              </w:rPr>
            </w:pPr>
            <w:r>
              <w:rPr>
                <w:rFonts w:hint="eastAsia" w:ascii="宋体" w:hAnsi="宋体" w:eastAsia="宋体" w:cs="宋体"/>
                <w:kern w:val="2"/>
                <w:sz w:val="24"/>
                <w:szCs w:val="24"/>
                <w:lang w:val="en-US" w:eastAsia="zh-CN" w:bidi="ar-SA"/>
              </w:rPr>
              <w:t>内  容：关于南侧围墙基础圈梁钢筋绑扎不符合设计要求的整改通知</w:t>
            </w:r>
          </w:p>
          <w:p w14:paraId="025DECEC">
            <w:pPr>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在对高邮风帆用户侧储能项目南侧围墙圈梁钢筋绑扎施工现场检查中，发现箍筋绑扎存在不符合设计及规范要求的情况。设计要求箍筋绑扎间距为200mm ，但现场实际间距与设计要求存在偏差，不符合《混凝土结构工程施工质量验收规范》（GB 50204 - 2015 ）中关于钢筋安装的相关规定。</w:t>
            </w:r>
          </w:p>
          <w:p w14:paraId="38E0BDD1">
            <w:pPr>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为确保工程质量，请贵单位立即组织人员按以下要求进行整改：</w:t>
            </w:r>
          </w:p>
          <w:p w14:paraId="22B2F6C2">
            <w:pPr>
              <w:numPr>
                <w:ilvl w:val="0"/>
                <w:numId w:val="1"/>
              </w:numPr>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重新调整</w:t>
            </w:r>
            <w:r>
              <w:rPr>
                <w:rFonts w:hint="eastAsia" w:ascii="宋体" w:hAnsi="宋体" w:cs="宋体"/>
                <w:sz w:val="24"/>
                <w:szCs w:val="24"/>
                <w:lang w:val="en-US" w:eastAsia="zh-CN"/>
              </w:rPr>
              <w:t>箍筋</w:t>
            </w:r>
            <w:r>
              <w:rPr>
                <w:rFonts w:hint="eastAsia" w:ascii="宋体" w:hAnsi="宋体" w:eastAsia="宋体" w:cs="宋体"/>
                <w:sz w:val="24"/>
                <w:szCs w:val="24"/>
                <w:lang w:val="en-US" w:eastAsia="zh-CN"/>
              </w:rPr>
              <w:t>间距</w:t>
            </w:r>
            <w:r>
              <w:rPr>
                <w:rFonts w:hint="eastAsia" w:ascii="宋体" w:hAnsi="宋体" w:cs="宋体"/>
                <w:sz w:val="24"/>
                <w:szCs w:val="24"/>
                <w:lang w:val="en-US" w:eastAsia="zh-CN"/>
              </w:rPr>
              <w:t>和布置方式</w:t>
            </w:r>
            <w:r>
              <w:rPr>
                <w:rFonts w:hint="eastAsia" w:ascii="宋体" w:hAnsi="宋体" w:eastAsia="宋体" w:cs="宋体"/>
                <w:sz w:val="24"/>
                <w:szCs w:val="24"/>
                <w:lang w:val="en-US" w:eastAsia="zh-CN"/>
              </w:rPr>
              <w:t>：按照设计要求的200mm间距，</w:t>
            </w:r>
            <w:r>
              <w:rPr>
                <w:rFonts w:hint="eastAsia" w:ascii="宋体" w:hAnsi="宋体" w:cs="宋体"/>
                <w:sz w:val="24"/>
                <w:szCs w:val="24"/>
                <w:lang w:val="en-US" w:eastAsia="zh-CN"/>
              </w:rPr>
              <w:t>并对箍筋开口进行交错布置，</w:t>
            </w:r>
            <w:r>
              <w:rPr>
                <w:rFonts w:hint="eastAsia" w:ascii="宋体" w:hAnsi="宋体" w:eastAsia="宋体" w:cs="宋体"/>
                <w:sz w:val="24"/>
                <w:szCs w:val="24"/>
                <w:lang w:val="en-US" w:eastAsia="zh-CN"/>
              </w:rPr>
              <w:t>对不符合要求的箍筋间距进行重新调整，确保间距均匀一致</w:t>
            </w:r>
            <w:r>
              <w:rPr>
                <w:rFonts w:hint="eastAsia" w:ascii="宋体" w:hAnsi="宋体" w:cs="宋体"/>
                <w:sz w:val="24"/>
                <w:szCs w:val="24"/>
                <w:lang w:val="en-US" w:eastAsia="zh-CN"/>
              </w:rPr>
              <w:t>。</w:t>
            </w:r>
          </w:p>
          <w:p w14:paraId="35B2872A">
            <w:pPr>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 全面检查：对已绑扎的圈梁钢筋进行全面检查，除间距外，同时检查箍筋的数量、规格、绑扎牢固程度</w:t>
            </w:r>
            <w:r>
              <w:rPr>
                <w:rFonts w:hint="eastAsia" w:ascii="宋体" w:hAnsi="宋体" w:cs="宋体"/>
                <w:sz w:val="24"/>
                <w:szCs w:val="24"/>
                <w:lang w:val="en-US" w:eastAsia="zh-CN"/>
              </w:rPr>
              <w:t>、布置方式</w:t>
            </w:r>
            <w:r>
              <w:rPr>
                <w:rFonts w:hint="eastAsia" w:ascii="宋体" w:hAnsi="宋体" w:eastAsia="宋体" w:cs="宋体"/>
                <w:sz w:val="24"/>
                <w:szCs w:val="24"/>
                <w:lang w:val="en-US" w:eastAsia="zh-CN"/>
              </w:rPr>
              <w:t>等是否符合设计及规范要求。</w:t>
            </w:r>
          </w:p>
          <w:p w14:paraId="4BF08738">
            <w:pPr>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 质量验收：整改完成后，进行自检，自检合格后报监理部进行复查验收。</w:t>
            </w:r>
          </w:p>
          <w:p w14:paraId="3D9C9366">
            <w:pPr>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 xml:space="preserve">  </w:t>
            </w:r>
            <w:r>
              <w:rPr>
                <w:rFonts w:hint="eastAsia" w:ascii="宋体" w:hAnsi="宋体" w:eastAsia="宋体" w:cs="宋体"/>
                <w:sz w:val="24"/>
                <w:szCs w:val="24"/>
                <w:lang w:val="en-US" w:eastAsia="zh-CN"/>
              </w:rPr>
              <w:drawing>
                <wp:inline distT="0" distB="0" distL="114300" distR="114300">
                  <wp:extent cx="2762885" cy="2072640"/>
                  <wp:effectExtent l="0" t="0" r="18415" b="3810"/>
                  <wp:docPr id="2" name="图片 2" descr="270369f181eae74e7d58f3e25128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270369f181eae74e7d58f3e25128472"/>
                          <pic:cNvPicPr>
                            <a:picLocks noChangeAspect="1"/>
                          </pic:cNvPicPr>
                        </pic:nvPicPr>
                        <pic:blipFill>
                          <a:blip r:embed="rId4"/>
                          <a:stretch>
                            <a:fillRect/>
                          </a:stretch>
                        </pic:blipFill>
                        <pic:spPr>
                          <a:xfrm>
                            <a:off x="0" y="0"/>
                            <a:ext cx="2762885" cy="2072640"/>
                          </a:xfrm>
                          <a:prstGeom prst="rect">
                            <a:avLst/>
                          </a:prstGeom>
                        </pic:spPr>
                      </pic:pic>
                    </a:graphicData>
                  </a:graphic>
                </wp:inline>
              </w:drawing>
            </w:r>
            <w:r>
              <w:rPr>
                <w:rFonts w:hint="eastAsia" w:ascii="宋体" w:hAnsi="宋体" w:eastAsia="宋体" w:cs="宋体"/>
                <w:sz w:val="24"/>
                <w:szCs w:val="24"/>
                <w:lang w:val="en-US" w:eastAsia="zh-CN"/>
              </w:rPr>
              <w:drawing>
                <wp:inline distT="0" distB="0" distL="114300" distR="114300">
                  <wp:extent cx="2766060" cy="2076450"/>
                  <wp:effectExtent l="0" t="0" r="15240" b="0"/>
                  <wp:docPr id="3" name="图片 3" descr="c06cdbecea3b62f7162f091306cba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c06cdbecea3b62f7162f091306cba53"/>
                          <pic:cNvPicPr>
                            <a:picLocks noChangeAspect="1"/>
                          </pic:cNvPicPr>
                        </pic:nvPicPr>
                        <pic:blipFill>
                          <a:blip r:embed="rId5"/>
                          <a:stretch>
                            <a:fillRect/>
                          </a:stretch>
                        </pic:blipFill>
                        <pic:spPr>
                          <a:xfrm>
                            <a:off x="0" y="0"/>
                            <a:ext cx="2766060" cy="2076450"/>
                          </a:xfrm>
                          <a:prstGeom prst="rect">
                            <a:avLst/>
                          </a:prstGeom>
                        </pic:spPr>
                      </pic:pic>
                    </a:graphicData>
                  </a:graphic>
                </wp:inline>
              </w:drawing>
            </w:r>
          </w:p>
          <w:p w14:paraId="20C09479">
            <w:pPr>
              <w:spacing w:line="360" w:lineRule="auto"/>
              <w:rPr>
                <w:rFonts w:hint="eastAsia" w:ascii="宋体" w:hAnsi="宋体" w:eastAsia="宋体" w:cs="宋体"/>
                <w:sz w:val="24"/>
                <w:szCs w:val="24"/>
                <w:lang w:val="en-US" w:eastAsia="zh-CN"/>
              </w:rPr>
            </w:pPr>
          </w:p>
          <w:p w14:paraId="788CB832">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以上限</w:t>
            </w:r>
            <w:r>
              <w:rPr>
                <w:rFonts w:hint="eastAsia" w:ascii="宋体" w:hAnsi="宋体" w:eastAsia="宋体" w:cs="宋体"/>
                <w:sz w:val="24"/>
                <w:szCs w:val="24"/>
                <w:u w:val="single"/>
                <w:lang w:val="en-US" w:eastAsia="zh-CN"/>
              </w:rPr>
              <w:t xml:space="preserve">  </w:t>
            </w:r>
            <w:r>
              <w:rPr>
                <w:rFonts w:hint="eastAsia" w:ascii="宋体" w:hAnsi="宋体" w:cs="宋体"/>
                <w:sz w:val="24"/>
                <w:szCs w:val="24"/>
                <w:u w:val="single"/>
                <w:lang w:val="en-US" w:eastAsia="zh-CN"/>
              </w:rPr>
              <w:t xml:space="preserve">1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日内整改，整改完成后回复本通知单</w:t>
            </w:r>
          </w:p>
          <w:p w14:paraId="1FA95DA5">
            <w:pPr>
              <w:spacing w:line="360" w:lineRule="auto"/>
              <w:ind w:firstLine="4080" w:firstLineChars="1700"/>
              <w:rPr>
                <w:rFonts w:hint="eastAsia" w:ascii="宋体" w:hAnsi="宋体" w:eastAsia="宋体" w:cs="宋体"/>
                <w:sz w:val="24"/>
                <w:szCs w:val="24"/>
                <w:lang w:val="en-US" w:eastAsia="zh-CN"/>
              </w:rPr>
            </w:pPr>
          </w:p>
          <w:p w14:paraId="2130D00D">
            <w:pPr>
              <w:spacing w:line="360" w:lineRule="auto"/>
              <w:ind w:firstLine="4080" w:firstLineChars="1700"/>
              <w:rPr>
                <w:rFonts w:hint="eastAsia" w:ascii="宋体" w:hAnsi="宋体" w:eastAsia="宋体" w:cs="宋体"/>
                <w:sz w:val="24"/>
                <w:szCs w:val="24"/>
                <w:lang w:val="en-US" w:eastAsia="zh-CN"/>
              </w:rPr>
            </w:pPr>
          </w:p>
          <w:p w14:paraId="38037E2A">
            <w:pPr>
              <w:spacing w:line="360" w:lineRule="auto"/>
              <w:ind w:firstLine="4080" w:firstLineChars="17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监理项目部（章） </w:t>
            </w:r>
          </w:p>
          <w:p w14:paraId="1A1732F6">
            <w:pPr>
              <w:spacing w:line="360" w:lineRule="auto"/>
              <w:ind w:firstLine="4080" w:firstLineChars="1700"/>
              <w:rPr>
                <w:rFonts w:hint="eastAsia" w:ascii="宋体" w:hAnsi="宋体" w:eastAsia="宋体" w:cs="宋体"/>
                <w:sz w:val="24"/>
                <w:szCs w:val="24"/>
                <w:u w:val="single"/>
                <w:lang w:val="en-US" w:eastAsia="zh-CN"/>
              </w:rPr>
            </w:pPr>
            <w:r>
              <w:rPr>
                <w:rFonts w:hint="eastAsia" w:ascii="宋体" w:hAnsi="宋体" w:eastAsia="宋体" w:cs="宋体"/>
                <w:sz w:val="24"/>
                <w:szCs w:val="24"/>
                <w:lang w:val="en-US" w:eastAsia="zh-CN"/>
              </w:rPr>
              <w:t>总/专业监理工程师：</w:t>
            </w:r>
            <w:r>
              <w:rPr>
                <w:rFonts w:hint="eastAsia" w:ascii="宋体" w:hAnsi="宋体" w:eastAsia="宋体" w:cs="宋体"/>
                <w:sz w:val="24"/>
                <w:szCs w:val="24"/>
                <w:u w:val="single"/>
                <w:lang w:val="en-US" w:eastAsia="zh-CN"/>
              </w:rPr>
              <w:t xml:space="preserve">        </w:t>
            </w:r>
          </w:p>
          <w:p w14:paraId="2EDDC7C0">
            <w:pPr>
              <w:spacing w:line="360" w:lineRule="auto"/>
              <w:ind w:firstLine="4080" w:firstLineChars="1700"/>
              <w:rPr>
                <w:rFonts w:hint="eastAsia" w:ascii="宋体" w:hAnsi="宋体" w:eastAsia="宋体" w:cs="宋体"/>
                <w:sz w:val="28"/>
                <w:szCs w:val="28"/>
                <w:lang w:val="en-US" w:eastAsia="zh-CN"/>
              </w:rPr>
            </w:pPr>
            <w:r>
              <w:rPr>
                <w:rFonts w:hint="eastAsia" w:ascii="宋体" w:hAnsi="宋体" w:eastAsia="宋体" w:cs="宋体"/>
                <w:sz w:val="24"/>
                <w:szCs w:val="24"/>
                <w:lang w:val="en-US" w:eastAsia="zh-CN"/>
              </w:rPr>
              <w:t>日  期：</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年</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月</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日</w:t>
            </w:r>
          </w:p>
          <w:p w14:paraId="7047A3F0">
            <w:pPr>
              <w:ind w:firstLine="4898"/>
              <w:rPr>
                <w:rFonts w:ascii="宋体" w:hAnsi="宋体"/>
              </w:rPr>
            </w:pPr>
          </w:p>
        </w:tc>
      </w:tr>
    </w:tbl>
    <w:p w14:paraId="1E2851C7">
      <w:pPr>
        <w:pStyle w:val="6"/>
        <w:ind w:left="0" w:leftChars="0" w:firstLine="0" w:firstLineChars="0"/>
        <w:rPr>
          <w:rFonts w:hint="eastAsia" w:eastAsia="宋体"/>
          <w:lang w:val="en-US" w:eastAsia="zh-CN"/>
        </w:rPr>
      </w:pPr>
      <w:r>
        <w:rPr>
          <w:rFonts w:hint="eastAsia" w:ascii="仿宋" w:hAnsi="仿宋" w:eastAsia="仿宋" w:cs="仿宋"/>
        </w:rPr>
        <w:t>本表一式</w:t>
      </w:r>
      <w:r>
        <w:rPr>
          <w:rFonts w:hint="eastAsia" w:ascii="仿宋" w:hAnsi="仿宋" w:eastAsia="仿宋" w:cs="仿宋"/>
          <w:u w:val="single"/>
        </w:rPr>
        <w:t xml:space="preserve"> </w:t>
      </w:r>
      <w:r>
        <w:rPr>
          <w:rFonts w:hint="eastAsia" w:ascii="仿宋" w:hAnsi="仿宋" w:eastAsia="仿宋" w:cs="仿宋"/>
          <w:u w:val="single"/>
          <w:lang w:eastAsia="zh-CN"/>
        </w:rPr>
        <w:t>三</w:t>
      </w:r>
      <w:r>
        <w:rPr>
          <w:rFonts w:hint="eastAsia" w:ascii="仿宋" w:hAnsi="仿宋" w:eastAsia="仿宋" w:cs="仿宋"/>
          <w:u w:val="single"/>
        </w:rPr>
        <w:t xml:space="preserve"> </w:t>
      </w:r>
      <w:r>
        <w:rPr>
          <w:rFonts w:hint="eastAsia" w:ascii="仿宋" w:hAnsi="仿宋" w:eastAsia="仿宋" w:cs="仿宋"/>
        </w:rPr>
        <w:t>份，由监理项目部填写，业主项目部、施工项目部各存一份，监理项目部存</w:t>
      </w:r>
      <w:r>
        <w:rPr>
          <w:rFonts w:hint="eastAsia" w:ascii="仿宋" w:hAnsi="仿宋" w:eastAsia="仿宋" w:cs="仿宋"/>
          <w:u w:val="single"/>
        </w:rPr>
        <w:t xml:space="preserve"> </w:t>
      </w:r>
      <w:r>
        <w:rPr>
          <w:rFonts w:hint="eastAsia" w:ascii="仿宋" w:hAnsi="仿宋" w:eastAsia="仿宋" w:cs="仿宋"/>
          <w:u w:val="single"/>
          <w:lang w:eastAsia="zh-CN"/>
        </w:rPr>
        <w:t>一</w:t>
      </w:r>
      <w:r>
        <w:rPr>
          <w:rFonts w:hint="eastAsia" w:ascii="仿宋" w:hAnsi="仿宋" w:eastAsia="仿宋" w:cs="仿宋"/>
          <w:u w:val="single"/>
        </w:rPr>
        <w:t xml:space="preserve"> </w:t>
      </w:r>
      <w:r>
        <w:rPr>
          <w:rFonts w:hint="eastAsia" w:ascii="仿宋" w:hAnsi="仿宋" w:eastAsia="仿宋" w:cs="仿宋"/>
        </w:rPr>
        <w:t>份</w:t>
      </w:r>
    </w:p>
    <w:sectPr>
      <w:pgSz w:w="11906" w:h="16838"/>
      <w:pgMar w:top="964" w:right="1134" w:bottom="567"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BECF0F1"/>
    <w:multiLevelType w:val="singleLevel"/>
    <w:tmpl w:val="DBECF0F1"/>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BjZWExYWZlZjExZTBhZmM4NzBkNTdhYzhjMjI3MjkifQ=="/>
  </w:docVars>
  <w:rsids>
    <w:rsidRoot w:val="079D16F3"/>
    <w:rsid w:val="011E21FA"/>
    <w:rsid w:val="01C15331"/>
    <w:rsid w:val="01E7511C"/>
    <w:rsid w:val="031B2D80"/>
    <w:rsid w:val="03205D78"/>
    <w:rsid w:val="03831FC7"/>
    <w:rsid w:val="03BC1730"/>
    <w:rsid w:val="03C736D7"/>
    <w:rsid w:val="04487323"/>
    <w:rsid w:val="050D3480"/>
    <w:rsid w:val="063D48B4"/>
    <w:rsid w:val="068A3C77"/>
    <w:rsid w:val="06C76C7A"/>
    <w:rsid w:val="079D16F3"/>
    <w:rsid w:val="085A7090"/>
    <w:rsid w:val="08AA4949"/>
    <w:rsid w:val="090212A1"/>
    <w:rsid w:val="0AB10EC8"/>
    <w:rsid w:val="0C2812AD"/>
    <w:rsid w:val="0E054823"/>
    <w:rsid w:val="0E245572"/>
    <w:rsid w:val="0FBA4A1C"/>
    <w:rsid w:val="0FF77BAD"/>
    <w:rsid w:val="10807264"/>
    <w:rsid w:val="10852834"/>
    <w:rsid w:val="14894923"/>
    <w:rsid w:val="14E06D5A"/>
    <w:rsid w:val="15433A3B"/>
    <w:rsid w:val="158030A3"/>
    <w:rsid w:val="161A6184"/>
    <w:rsid w:val="16A670A9"/>
    <w:rsid w:val="16F0463C"/>
    <w:rsid w:val="16FD23F0"/>
    <w:rsid w:val="173D3ACA"/>
    <w:rsid w:val="173E0939"/>
    <w:rsid w:val="188A3FE1"/>
    <w:rsid w:val="19426D08"/>
    <w:rsid w:val="196B0C53"/>
    <w:rsid w:val="1BA31141"/>
    <w:rsid w:val="1C1918CE"/>
    <w:rsid w:val="1C331D92"/>
    <w:rsid w:val="1D592283"/>
    <w:rsid w:val="1F5923C4"/>
    <w:rsid w:val="203F18BD"/>
    <w:rsid w:val="21575EA1"/>
    <w:rsid w:val="232D6E8D"/>
    <w:rsid w:val="248775E4"/>
    <w:rsid w:val="24CF5F4B"/>
    <w:rsid w:val="255D778D"/>
    <w:rsid w:val="26177818"/>
    <w:rsid w:val="268C261C"/>
    <w:rsid w:val="28FB65E3"/>
    <w:rsid w:val="2AEF38A3"/>
    <w:rsid w:val="2B3E6C5B"/>
    <w:rsid w:val="2B7A7F18"/>
    <w:rsid w:val="2F4C338E"/>
    <w:rsid w:val="3088411D"/>
    <w:rsid w:val="31BD5497"/>
    <w:rsid w:val="320D3CEC"/>
    <w:rsid w:val="33713745"/>
    <w:rsid w:val="33850DF6"/>
    <w:rsid w:val="33A027F2"/>
    <w:rsid w:val="33EE16C5"/>
    <w:rsid w:val="340249DD"/>
    <w:rsid w:val="349A41EB"/>
    <w:rsid w:val="35452368"/>
    <w:rsid w:val="372E64F4"/>
    <w:rsid w:val="37666692"/>
    <w:rsid w:val="389E50A5"/>
    <w:rsid w:val="38A9436E"/>
    <w:rsid w:val="39951B3A"/>
    <w:rsid w:val="39EC3419"/>
    <w:rsid w:val="3B4E14F1"/>
    <w:rsid w:val="3BBB4563"/>
    <w:rsid w:val="3CF06A24"/>
    <w:rsid w:val="3FDE2144"/>
    <w:rsid w:val="40286D22"/>
    <w:rsid w:val="426F27A4"/>
    <w:rsid w:val="430C30DA"/>
    <w:rsid w:val="434C0087"/>
    <w:rsid w:val="43FC6FC6"/>
    <w:rsid w:val="482E07D6"/>
    <w:rsid w:val="48CC1A94"/>
    <w:rsid w:val="48E13AA2"/>
    <w:rsid w:val="490C6426"/>
    <w:rsid w:val="4C691C69"/>
    <w:rsid w:val="4D0072E5"/>
    <w:rsid w:val="4DF63227"/>
    <w:rsid w:val="4EBF17FB"/>
    <w:rsid w:val="4EF7238E"/>
    <w:rsid w:val="50BC5616"/>
    <w:rsid w:val="51522493"/>
    <w:rsid w:val="51F23F3E"/>
    <w:rsid w:val="535047B8"/>
    <w:rsid w:val="539C7770"/>
    <w:rsid w:val="565076BF"/>
    <w:rsid w:val="567D5155"/>
    <w:rsid w:val="56C00D78"/>
    <w:rsid w:val="576D38EA"/>
    <w:rsid w:val="57BC5455"/>
    <w:rsid w:val="5911565F"/>
    <w:rsid w:val="59E4096A"/>
    <w:rsid w:val="5A1E2EA9"/>
    <w:rsid w:val="5B6A3FBC"/>
    <w:rsid w:val="5C033B01"/>
    <w:rsid w:val="5C763331"/>
    <w:rsid w:val="5D6B4201"/>
    <w:rsid w:val="5EA33DFC"/>
    <w:rsid w:val="5EB567A4"/>
    <w:rsid w:val="5F5E4A03"/>
    <w:rsid w:val="60C04628"/>
    <w:rsid w:val="60FA1A93"/>
    <w:rsid w:val="616F72E9"/>
    <w:rsid w:val="627E27C8"/>
    <w:rsid w:val="638E2537"/>
    <w:rsid w:val="64235B81"/>
    <w:rsid w:val="64D8319C"/>
    <w:rsid w:val="64F12536"/>
    <w:rsid w:val="658E6F96"/>
    <w:rsid w:val="65C921FC"/>
    <w:rsid w:val="65D94138"/>
    <w:rsid w:val="681D0141"/>
    <w:rsid w:val="6902604C"/>
    <w:rsid w:val="6917403C"/>
    <w:rsid w:val="6BF46800"/>
    <w:rsid w:val="6F063E1D"/>
    <w:rsid w:val="6F7679A2"/>
    <w:rsid w:val="701514FB"/>
    <w:rsid w:val="709A2C67"/>
    <w:rsid w:val="7320246B"/>
    <w:rsid w:val="73763F96"/>
    <w:rsid w:val="74291831"/>
    <w:rsid w:val="74AF7A61"/>
    <w:rsid w:val="74C06CA5"/>
    <w:rsid w:val="75AE7326"/>
    <w:rsid w:val="75D47322"/>
    <w:rsid w:val="75FE292B"/>
    <w:rsid w:val="76796B5A"/>
    <w:rsid w:val="77AC19E9"/>
    <w:rsid w:val="78D13934"/>
    <w:rsid w:val="790D6937"/>
    <w:rsid w:val="7A08419A"/>
    <w:rsid w:val="7B03689F"/>
    <w:rsid w:val="7B1F7CD1"/>
    <w:rsid w:val="7B290EC2"/>
    <w:rsid w:val="7D980304"/>
    <w:rsid w:val="7DD16A88"/>
    <w:rsid w:val="7DD54D58"/>
    <w:rsid w:val="7DE77548"/>
    <w:rsid w:val="7E6660B0"/>
    <w:rsid w:val="7E8D2B69"/>
    <w:rsid w:val="7EB276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4">
    <w:name w:val="Default Paragraph Font"/>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 w:type="table" w:styleId="3">
    <w:name w:val="Table Grid"/>
    <w:basedOn w:val="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5">
    <w:name w:val="正文 New"/>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
    <w:name w:val="样式 宋体 首行缩进:  0.37 厘米 行距: 多倍行距 1.25 字行"/>
    <w:basedOn w:val="1"/>
    <w:autoRedefine/>
    <w:qFormat/>
    <w:uiPriority w:val="0"/>
    <w:pPr>
      <w:spacing w:line="300" w:lineRule="auto"/>
      <w:ind w:firstLine="454"/>
    </w:pPr>
    <w:rPr>
      <w:rFonts w:ascii="宋体" w:hAnsi="宋体"/>
    </w:rPr>
  </w:style>
  <w:style w:type="paragraph" w:customStyle="1" w:styleId="7">
    <w:name w:val="列出段落1"/>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774</Words>
  <Characters>823</Characters>
  <Lines>0</Lines>
  <Paragraphs>0</Paragraphs>
  <TotalTime>16</TotalTime>
  <ScaleCrop>false</ScaleCrop>
  <LinksUpToDate>false</LinksUpToDate>
  <CharactersWithSpaces>995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2019-04-09T04:37:00Z</dcterms:created>
  <dc:creator>Administrator</dc:creator>
  <cp:lastModifiedBy>木头</cp:lastModifiedBy>
  <cp:lastPrinted>2024-04-18T02:25:00Z</cp:lastPrinted>
  <dcterms:modified xsi:type="dcterms:W3CDTF">2025-03-29T06:26:38Z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AA4F944C2A924D92B26CD6C08B222FC9</vt:lpwstr>
  </property>
  <property fmtid="{D5CDD505-2E9C-101B-9397-08002B2CF9AE}" pid="4" name="KSOTemplateDocerSaveRecord">
    <vt:lpwstr>eyJoZGlkIjoiYTBjZWExYWZlZjExZTBhZmM4NzBkNTdhYzhjMjI3MjkiLCJ1c2VySWQiOiI0MjI3OTc5OTEifQ==</vt:lpwstr>
  </property>
</Properties>
</file>