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72" w:rsidRDefault="00D93C74">
      <w:pPr>
        <w:pStyle w:val="a5"/>
      </w:pPr>
      <w:bookmarkStart w:id="0" w:name="_Toc403165427"/>
      <w:r>
        <w:rPr>
          <w:rFonts w:hint="eastAsia"/>
          <w:b/>
        </w:rPr>
        <w:t>JXMB8</w:t>
      </w:r>
      <w:r>
        <w:rPr>
          <w:rFonts w:hint="eastAsia"/>
        </w:rPr>
        <w:t xml:space="preserve">  会议纪要</w:t>
      </w:r>
      <w:bookmarkEnd w:id="0"/>
    </w:p>
    <w:p w:rsidR="00BB2972" w:rsidRDefault="00D93C74">
      <w:pPr>
        <w:pStyle w:val="D3"/>
        <w:tabs>
          <w:tab w:val="left" w:pos="1665"/>
          <w:tab w:val="left" w:pos="2850"/>
          <w:tab w:val="center" w:pos="4153"/>
        </w:tabs>
        <w:jc w:val="left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rFonts w:hint="eastAsia"/>
          <w:sz w:val="32"/>
        </w:rPr>
        <w:t>会  议  纪  要</w:t>
      </w:r>
    </w:p>
    <w:p w:rsidR="00BB2972" w:rsidRDefault="00D93C74">
      <w:pPr>
        <w:tabs>
          <w:tab w:val="left" w:pos="1665"/>
        </w:tabs>
        <w:topLinePunct/>
        <w:jc w:val="left"/>
        <w:rPr>
          <w:b/>
          <w:color w:val="000000"/>
          <w:kern w:val="21"/>
          <w:szCs w:val="18"/>
        </w:rPr>
      </w:pPr>
      <w:r>
        <w:rPr>
          <w:rFonts w:hAnsi="宋体" w:hint="eastAsia"/>
          <w:color w:val="000000"/>
          <w:kern w:val="21"/>
          <w:szCs w:val="18"/>
        </w:rPr>
        <w:t>编号：</w:t>
      </w:r>
      <w:r>
        <w:rPr>
          <w:rFonts w:hAnsi="宋体" w:hint="eastAsia"/>
          <w:color w:val="000000"/>
          <w:kern w:val="21"/>
          <w:szCs w:val="18"/>
        </w:rPr>
        <w:t>HSHHGF-JLHY-1</w:t>
      </w:r>
      <w:r w:rsidR="000F74B1">
        <w:rPr>
          <w:rFonts w:hAnsi="宋体" w:hint="eastAsia"/>
          <w:color w:val="000000"/>
          <w:kern w:val="21"/>
          <w:szCs w:val="18"/>
        </w:rPr>
        <w:t>2</w:t>
      </w:r>
    </w:p>
    <w:p w:rsidR="00BB2972" w:rsidRDefault="00D93C74">
      <w:pPr>
        <w:topLinePunct/>
        <w:rPr>
          <w:color w:val="000000"/>
          <w:kern w:val="21"/>
          <w:szCs w:val="18"/>
        </w:rPr>
      </w:pPr>
      <w:r>
        <w:rPr>
          <w:rFonts w:hAnsi="宋体" w:hint="eastAsia"/>
          <w:color w:val="000000"/>
          <w:kern w:val="21"/>
          <w:szCs w:val="18"/>
        </w:rPr>
        <w:t>工程名称：汉寿昊晖</w:t>
      </w:r>
      <w:r>
        <w:rPr>
          <w:rFonts w:hint="eastAsia"/>
          <w:color w:val="000000"/>
          <w:kern w:val="21"/>
          <w:szCs w:val="18"/>
        </w:rPr>
        <w:t>光伏发电项目</w:t>
      </w:r>
      <w:r>
        <w:rPr>
          <w:color w:val="000000"/>
          <w:kern w:val="21"/>
          <w:szCs w:val="18"/>
        </w:rPr>
        <w:tab/>
      </w:r>
      <w:r>
        <w:rPr>
          <w:color w:val="000000"/>
          <w:kern w:val="21"/>
          <w:szCs w:val="18"/>
        </w:rPr>
        <w:tab/>
      </w:r>
      <w:r>
        <w:rPr>
          <w:rFonts w:hint="eastAsia"/>
          <w:color w:val="000000"/>
          <w:kern w:val="21"/>
          <w:szCs w:val="18"/>
        </w:rPr>
        <w:t xml:space="preserve">                        </w:t>
      </w:r>
      <w:r>
        <w:rPr>
          <w:rFonts w:hAnsi="宋体" w:hint="eastAsia"/>
          <w:color w:val="000000"/>
          <w:kern w:val="21"/>
          <w:szCs w:val="18"/>
        </w:rPr>
        <w:t>签发：</w:t>
      </w:r>
    </w:p>
    <w:tbl>
      <w:tblPr>
        <w:tblW w:w="9086" w:type="dxa"/>
        <w:tblInd w:w="-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628"/>
        <w:gridCol w:w="2071"/>
        <w:gridCol w:w="1092"/>
        <w:gridCol w:w="884"/>
        <w:gridCol w:w="392"/>
        <w:gridCol w:w="1714"/>
      </w:tblGrid>
      <w:tr w:rsidR="00BB2972">
        <w:trPr>
          <w:trHeight w:val="119"/>
        </w:trPr>
        <w:tc>
          <w:tcPr>
            <w:tcW w:w="29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972" w:rsidRDefault="00D93C74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会议地点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972" w:rsidRDefault="00D93C74">
            <w:pPr>
              <w:pStyle w:val="11"/>
              <w:jc w:val="center"/>
            </w:pPr>
            <w:r>
              <w:rPr>
                <w:rFonts w:hint="eastAsia"/>
              </w:rPr>
              <w:t>一组项目部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972" w:rsidRDefault="00D93C74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会议时间</w:t>
            </w:r>
          </w:p>
        </w:tc>
        <w:tc>
          <w:tcPr>
            <w:tcW w:w="21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972" w:rsidRDefault="00D93C74" w:rsidP="000F74B1">
            <w:pPr>
              <w:spacing w:before="100" w:after="100"/>
              <w:jc w:val="center"/>
              <w:rPr>
                <w:rFonts w:ascii="宋体" w:hAnsi="宋体"/>
                <w:spacing w:val="40"/>
                <w:szCs w:val="18"/>
              </w:rPr>
            </w:pPr>
            <w:r>
              <w:t>2015-0</w:t>
            </w:r>
            <w:r>
              <w:rPr>
                <w:rFonts w:hint="eastAsia"/>
              </w:rPr>
              <w:t>7</w:t>
            </w:r>
            <w:r>
              <w:t>-</w:t>
            </w:r>
            <w:r>
              <w:rPr>
                <w:rFonts w:hint="eastAsia"/>
              </w:rPr>
              <w:t>2</w:t>
            </w:r>
            <w:r w:rsidR="000F74B1"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  </w:t>
            </w:r>
            <w:r w:rsidR="000F74B1">
              <w:rPr>
                <w:rFonts w:hint="eastAsia"/>
              </w:rPr>
              <w:t>09</w:t>
            </w:r>
            <w:r>
              <w:rPr>
                <w:rFonts w:hint="eastAsia"/>
              </w:rPr>
              <w:t>:</w:t>
            </w:r>
            <w:r w:rsidR="007D378E">
              <w:rPr>
                <w:rFonts w:hint="eastAsia"/>
              </w:rPr>
              <w:t>00</w:t>
            </w:r>
          </w:p>
        </w:tc>
      </w:tr>
      <w:tr w:rsidR="00BB2972">
        <w:trPr>
          <w:trHeight w:val="165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972" w:rsidRDefault="00D93C74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会议主持人</w:t>
            </w:r>
          </w:p>
        </w:tc>
        <w:tc>
          <w:tcPr>
            <w:tcW w:w="6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972" w:rsidRDefault="00D93C74" w:rsidP="000F74B1">
            <w:pPr>
              <w:tabs>
                <w:tab w:val="left" w:pos="2329"/>
              </w:tabs>
              <w:spacing w:before="100" w:after="100"/>
              <w:jc w:val="left"/>
              <w:rPr>
                <w:rFonts w:ascii="宋体" w:hAnsi="宋体"/>
                <w:b/>
                <w:spacing w:val="40"/>
                <w:szCs w:val="18"/>
              </w:rPr>
            </w:pPr>
            <w:r>
              <w:rPr>
                <w:rFonts w:ascii="宋体" w:hAnsi="宋体" w:hint="eastAsia"/>
                <w:b/>
                <w:spacing w:val="40"/>
                <w:szCs w:val="18"/>
              </w:rPr>
              <w:tab/>
            </w:r>
            <w:r w:rsidR="000F74B1">
              <w:rPr>
                <w:rFonts w:ascii="宋体" w:hAnsi="宋体" w:hint="eastAsia"/>
                <w:b/>
                <w:spacing w:val="40"/>
                <w:szCs w:val="18"/>
              </w:rPr>
              <w:t>邢朝帅</w:t>
            </w:r>
          </w:p>
        </w:tc>
      </w:tr>
      <w:tr w:rsidR="00BB2972" w:rsidTr="000856DC">
        <w:trPr>
          <w:trHeight w:val="7087"/>
        </w:trPr>
        <w:tc>
          <w:tcPr>
            <w:tcW w:w="90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2" w:rsidRDefault="00D93C74">
            <w:pPr>
              <w:spacing w:line="360" w:lineRule="auto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会议内容：</w:t>
            </w:r>
          </w:p>
          <w:p w:rsidR="00BB2972" w:rsidRDefault="00D93C74" w:rsidP="006E46FE">
            <w:pPr>
              <w:tabs>
                <w:tab w:val="center" w:pos="4533"/>
              </w:tabs>
              <w:spacing w:line="360" w:lineRule="auto"/>
              <w:ind w:firstLineChars="300" w:firstLine="72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一、甲方</w:t>
            </w:r>
            <w:r>
              <w:rPr>
                <w:rFonts w:ascii="宋体" w:hAnsi="宋体" w:hint="eastAsia"/>
                <w:sz w:val="24"/>
                <w:szCs w:val="18"/>
              </w:rPr>
              <w:tab/>
            </w:r>
          </w:p>
          <w:p w:rsidR="007D378E" w:rsidRPr="000F74B1" w:rsidRDefault="000F74B1" w:rsidP="006E46FE">
            <w:pPr>
              <w:pStyle w:val="2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场外会车坪定于明天（7月28日）进行施工，施工用材</w:t>
            </w:r>
            <w:proofErr w:type="gramStart"/>
            <w:r w:rsidR="005217AC">
              <w:rPr>
                <w:rFonts w:ascii="宋体" w:hAnsi="宋体" w:hint="eastAsia"/>
                <w:sz w:val="24"/>
                <w:szCs w:val="18"/>
              </w:rPr>
              <w:t>选用</w:t>
            </w:r>
            <w:r>
              <w:rPr>
                <w:rFonts w:ascii="宋体" w:hAnsi="宋体" w:hint="eastAsia"/>
                <w:sz w:val="24"/>
                <w:szCs w:val="18"/>
              </w:rPr>
              <w:t>山皮石</w:t>
            </w:r>
            <w:proofErr w:type="gramEnd"/>
            <w:r>
              <w:rPr>
                <w:rFonts w:ascii="宋体" w:hAnsi="宋体" w:hint="eastAsia"/>
                <w:sz w:val="24"/>
                <w:szCs w:val="18"/>
              </w:rPr>
              <w:t>。</w:t>
            </w:r>
          </w:p>
          <w:p w:rsidR="000F74B1" w:rsidRDefault="000F74B1" w:rsidP="006E46FE">
            <w:pPr>
              <w:pStyle w:val="2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综合楼圈梁浇筑前，土建单位要做好所有预埋管的敷设，监理单位要进行预验收。</w:t>
            </w:r>
          </w:p>
          <w:p w:rsidR="000F74B1" w:rsidRDefault="000F74B1" w:rsidP="006E46FE">
            <w:pPr>
              <w:pStyle w:val="2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土建单位技术员、质检员要求即日起每天在项目地出勤。以便解决施工中的技术、质量问题。</w:t>
            </w:r>
          </w:p>
          <w:p w:rsidR="000F74B1" w:rsidRDefault="000F74B1" w:rsidP="006E46FE">
            <w:pPr>
              <w:pStyle w:val="2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机电安装单位今天上午先对12、13区域组件排布进行放点，以便确定运输道路界点。</w:t>
            </w:r>
          </w:p>
          <w:p w:rsidR="000F74B1" w:rsidRDefault="000F74B1" w:rsidP="006E46FE">
            <w:pPr>
              <w:pStyle w:val="2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机电单位应确保水泥管桩及配套材料于7月30日能运输到场，本周能进行管桩施工。</w:t>
            </w:r>
          </w:p>
          <w:p w:rsidR="000F74B1" w:rsidRDefault="000F74B1" w:rsidP="006E46FE">
            <w:pPr>
              <w:pStyle w:val="2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机电单位在场内会车坪上堆积的材料，应在7月29日前清理干净，以便会车。</w:t>
            </w:r>
          </w:p>
          <w:p w:rsidR="000F74B1" w:rsidRDefault="005217AC" w:rsidP="006E46FE">
            <w:pPr>
              <w:pStyle w:val="2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高速公路桥下运输道路现况已反馈给设计单位，等设计方案确定后，土建单位应在最短时间内将道路修建至桥下。</w:t>
            </w:r>
          </w:p>
          <w:p w:rsidR="005217AC" w:rsidRDefault="00305F32" w:rsidP="006E46FE">
            <w:pPr>
              <w:pStyle w:val="2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综合楼回填土用料在会议结束后</w:t>
            </w:r>
            <w:r w:rsidR="005217AC">
              <w:rPr>
                <w:rFonts w:ascii="宋体" w:hAnsi="宋体" w:hint="eastAsia"/>
                <w:sz w:val="24"/>
                <w:szCs w:val="24"/>
              </w:rPr>
              <w:t>向公司设计反馈，确定后告知土建单位。</w:t>
            </w:r>
          </w:p>
          <w:p w:rsidR="005217AC" w:rsidRDefault="005217AC" w:rsidP="006E46FE">
            <w:pPr>
              <w:pStyle w:val="2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碎石道路增量部分，现场先定量，增量部分在项目尾期统一进行签证。</w:t>
            </w:r>
          </w:p>
          <w:p w:rsidR="005217AC" w:rsidRDefault="005217AC" w:rsidP="006E46FE">
            <w:pPr>
              <w:pStyle w:val="2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土建单位反馈的室内给水管道可否由镀锌钢管更换为PPR管，会后咨询设计部门意见。</w:t>
            </w:r>
          </w:p>
          <w:p w:rsidR="00BB2972" w:rsidRDefault="005217AC" w:rsidP="006E46FE">
            <w:pPr>
              <w:spacing w:line="360" w:lineRule="auto"/>
              <w:ind w:left="357"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</w:t>
            </w:r>
            <w:r w:rsidR="00D93C74"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sz w:val="24"/>
                <w:szCs w:val="24"/>
              </w:rPr>
              <w:t>土建</w:t>
            </w:r>
            <w:r w:rsidR="00D93C74">
              <w:rPr>
                <w:rFonts w:ascii="宋体" w:hAnsi="宋体" w:hint="eastAsia"/>
                <w:sz w:val="24"/>
                <w:szCs w:val="24"/>
              </w:rPr>
              <w:t>单位</w:t>
            </w:r>
          </w:p>
          <w:p w:rsidR="006E46FE" w:rsidRDefault="005217AC" w:rsidP="005217AC">
            <w:pPr>
              <w:pStyle w:val="2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请甲方确认综合楼回填土种类。现场挖出的材料淤泥化严重。</w:t>
            </w:r>
          </w:p>
          <w:p w:rsidR="005217AC" w:rsidRDefault="00C21321" w:rsidP="00C21321">
            <w:pPr>
              <w:pStyle w:val="2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入场施工以来</w:t>
            </w:r>
            <w:r w:rsidR="005217AC">
              <w:rPr>
                <w:rFonts w:ascii="宋体" w:hAnsi="宋体" w:hint="eastAsia"/>
                <w:sz w:val="24"/>
                <w:szCs w:val="24"/>
              </w:rPr>
              <w:t>多个工程量签证未得到甲方确认，需要将此前的</w:t>
            </w:r>
            <w:r>
              <w:rPr>
                <w:rFonts w:ascii="宋体" w:hAnsi="宋体" w:hint="eastAsia"/>
                <w:sz w:val="24"/>
                <w:szCs w:val="24"/>
              </w:rPr>
              <w:t>增量施工进行签证。</w:t>
            </w:r>
          </w:p>
          <w:p w:rsidR="00C21321" w:rsidRDefault="00C21321" w:rsidP="00C21321">
            <w:pPr>
              <w:pStyle w:val="2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请甲方下午下班时对今天碎石道路</w:t>
            </w:r>
            <w:r w:rsidR="00305F32">
              <w:rPr>
                <w:rFonts w:ascii="宋体" w:hAnsi="宋体" w:hint="eastAsia"/>
                <w:sz w:val="24"/>
                <w:szCs w:val="24"/>
              </w:rPr>
              <w:t>的</w:t>
            </w:r>
            <w:r>
              <w:rPr>
                <w:rFonts w:ascii="宋体" w:hAnsi="宋体" w:hint="eastAsia"/>
                <w:sz w:val="24"/>
                <w:szCs w:val="24"/>
              </w:rPr>
              <w:t>施工增量进行确认。</w:t>
            </w:r>
          </w:p>
          <w:p w:rsidR="00C21321" w:rsidRDefault="00C21321" w:rsidP="00C21321">
            <w:pPr>
              <w:pStyle w:val="2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请甲方尽快支付工程进度款。</w:t>
            </w:r>
          </w:p>
          <w:p w:rsidR="00C21321" w:rsidRDefault="00C21321" w:rsidP="00C21321">
            <w:pPr>
              <w:spacing w:line="360" w:lineRule="auto"/>
              <w:ind w:left="357"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三、机电安装单位</w:t>
            </w:r>
          </w:p>
          <w:p w:rsidR="00C21321" w:rsidRDefault="00C21321" w:rsidP="00C21321"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水泥管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桩安排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在3天内进场（7月30日前），12、13单元桩点请甲方提供。</w:t>
            </w:r>
          </w:p>
          <w:p w:rsidR="00C21321" w:rsidRDefault="00C21321" w:rsidP="00C21321"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会车坪上堆积的材料在水泥管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桩材料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进场前转移到不妨碍施工的地方。</w:t>
            </w:r>
          </w:p>
          <w:p w:rsidR="00C21321" w:rsidRDefault="00C21321" w:rsidP="00C21321"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施工资料本周内进行整理，整理</w:t>
            </w:r>
            <w:r w:rsidR="00305F32">
              <w:rPr>
                <w:rFonts w:ascii="宋体" w:hAnsi="宋体" w:hint="eastAsia"/>
                <w:sz w:val="24"/>
                <w:szCs w:val="24"/>
              </w:rPr>
              <w:t>后报</w:t>
            </w:r>
            <w:r>
              <w:rPr>
                <w:rFonts w:ascii="宋体" w:hAnsi="宋体" w:hint="eastAsia"/>
                <w:sz w:val="24"/>
                <w:szCs w:val="24"/>
              </w:rPr>
              <w:t>甲方、监理</w:t>
            </w:r>
            <w:r w:rsidR="00305F32">
              <w:rPr>
                <w:rFonts w:ascii="宋体" w:hAnsi="宋体" w:hint="eastAsia"/>
                <w:sz w:val="24"/>
                <w:szCs w:val="24"/>
              </w:rPr>
              <w:t>审阅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C21321" w:rsidRDefault="00C21321" w:rsidP="00C21321">
            <w:pPr>
              <w:spacing w:line="360" w:lineRule="auto"/>
              <w:ind w:left="357"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四、监理单位</w:t>
            </w:r>
          </w:p>
          <w:p w:rsidR="00C21321" w:rsidRDefault="00C21321" w:rsidP="00C21321">
            <w:pPr>
              <w:pStyle w:val="2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高速公路下道路施工尽可能取直。施工用材要保证车辆正常运输。土建单位要及时维护。</w:t>
            </w:r>
          </w:p>
          <w:p w:rsidR="00C21321" w:rsidRDefault="00C21321" w:rsidP="00C21321">
            <w:pPr>
              <w:pStyle w:val="2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综合楼接地</w:t>
            </w:r>
            <w:r w:rsidR="00305F32">
              <w:rPr>
                <w:rFonts w:ascii="宋体" w:hAnsi="宋体" w:hint="eastAsia"/>
                <w:sz w:val="24"/>
                <w:szCs w:val="24"/>
              </w:rPr>
              <w:t>装置</w:t>
            </w:r>
            <w:r>
              <w:rPr>
                <w:rFonts w:ascii="宋体" w:hAnsi="宋体" w:hint="eastAsia"/>
                <w:sz w:val="24"/>
                <w:szCs w:val="24"/>
              </w:rPr>
              <w:t>用材</w:t>
            </w:r>
            <w:r w:rsidR="00305F32">
              <w:rPr>
                <w:rFonts w:ascii="宋体" w:hAnsi="宋体" w:hint="eastAsia"/>
                <w:sz w:val="24"/>
                <w:szCs w:val="24"/>
              </w:rPr>
              <w:t>规格</w:t>
            </w:r>
            <w:r>
              <w:rPr>
                <w:rFonts w:ascii="宋体" w:hAnsi="宋体" w:hint="eastAsia"/>
                <w:sz w:val="24"/>
                <w:szCs w:val="24"/>
              </w:rPr>
              <w:t>小于设计要求，且接地极距离综合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楼距离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小于设计要求，请土建单位按照图纸进行整改。</w:t>
            </w:r>
          </w:p>
          <w:p w:rsidR="00C21321" w:rsidRDefault="00C21321" w:rsidP="00C21321">
            <w:pPr>
              <w:pStyle w:val="2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综合楼内需要暗敷的线管要及时敷设</w:t>
            </w:r>
            <w:r w:rsidR="006A7E2E">
              <w:rPr>
                <w:rFonts w:ascii="宋体" w:hAnsi="宋体" w:hint="eastAsia"/>
                <w:sz w:val="24"/>
                <w:szCs w:val="24"/>
              </w:rPr>
              <w:t>(水、</w:t>
            </w:r>
            <w:bookmarkStart w:id="1" w:name="_GoBack"/>
            <w:bookmarkEnd w:id="1"/>
            <w:r w:rsidR="006A7E2E">
              <w:rPr>
                <w:rFonts w:ascii="宋体" w:hAnsi="宋体" w:hint="eastAsia"/>
                <w:sz w:val="24"/>
                <w:szCs w:val="24"/>
              </w:rPr>
              <w:t>电、接地等)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  <w:r w:rsidR="000856DC">
              <w:rPr>
                <w:rFonts w:ascii="宋体" w:hAnsi="宋体" w:hint="eastAsia"/>
                <w:sz w:val="24"/>
                <w:szCs w:val="24"/>
              </w:rPr>
              <w:t>仔细按照图纸进行，不可遗漏，避免返工。</w:t>
            </w:r>
          </w:p>
          <w:p w:rsidR="000856DC" w:rsidRDefault="000856DC" w:rsidP="00C21321">
            <w:pPr>
              <w:pStyle w:val="2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两家施工单位的资料要在本周内完成并上报。</w:t>
            </w:r>
          </w:p>
        </w:tc>
      </w:tr>
      <w:tr w:rsidR="000856DC" w:rsidTr="000856DC">
        <w:trPr>
          <w:trHeight w:val="2258"/>
        </w:trPr>
        <w:tc>
          <w:tcPr>
            <w:tcW w:w="90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6DC" w:rsidRPr="000856DC" w:rsidRDefault="000856DC" w:rsidP="000856DC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18"/>
              </w:rPr>
            </w:pPr>
            <w:r w:rsidRPr="000856DC">
              <w:rPr>
                <w:rFonts w:ascii="宋体" w:hAnsi="宋体" w:hint="eastAsia"/>
                <w:sz w:val="24"/>
                <w:szCs w:val="18"/>
              </w:rPr>
              <w:lastRenderedPageBreak/>
              <w:t>上次会议问题落实情况：</w:t>
            </w:r>
          </w:p>
          <w:p w:rsidR="000856DC" w:rsidRPr="000856DC" w:rsidRDefault="000856DC" w:rsidP="000856DC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18"/>
              </w:rPr>
            </w:pPr>
            <w:r w:rsidRPr="000856DC">
              <w:rPr>
                <w:rFonts w:ascii="宋体" w:hAnsi="宋体" w:hint="eastAsia"/>
                <w:sz w:val="24"/>
                <w:szCs w:val="18"/>
              </w:rPr>
              <w:t>未完成项：</w:t>
            </w:r>
            <w:r>
              <w:rPr>
                <w:rFonts w:ascii="宋体" w:hAnsi="宋体" w:hint="eastAsia"/>
                <w:sz w:val="24"/>
                <w:szCs w:val="18"/>
              </w:rPr>
              <w:t>场内会车坪上堆积</w:t>
            </w:r>
            <w:r w:rsidR="00305F32">
              <w:rPr>
                <w:rFonts w:ascii="宋体" w:hAnsi="宋体" w:hint="eastAsia"/>
                <w:sz w:val="24"/>
                <w:szCs w:val="18"/>
              </w:rPr>
              <w:t>的</w:t>
            </w:r>
            <w:r>
              <w:rPr>
                <w:rFonts w:ascii="宋体" w:hAnsi="宋体" w:hint="eastAsia"/>
                <w:sz w:val="24"/>
                <w:szCs w:val="18"/>
              </w:rPr>
              <w:t>施工材料未清理</w:t>
            </w:r>
          </w:p>
        </w:tc>
      </w:tr>
      <w:tr w:rsidR="00D93C74" w:rsidTr="000856DC">
        <w:trPr>
          <w:trHeight w:val="686"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C74" w:rsidRDefault="00D93C74" w:rsidP="00D93C74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主送单位</w:t>
            </w: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C74" w:rsidRDefault="00D93C74" w:rsidP="00333BA1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汉寿昊晖太阳能发电有限公司</w:t>
            </w:r>
          </w:p>
        </w:tc>
      </w:tr>
      <w:tr w:rsidR="00D93C74" w:rsidTr="000856DC">
        <w:trPr>
          <w:trHeight w:val="696"/>
        </w:trPr>
        <w:tc>
          <w:tcPr>
            <w:tcW w:w="230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C74" w:rsidRDefault="00D93C74" w:rsidP="00D93C74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C74" w:rsidRDefault="00D93C74" w:rsidP="00333BA1">
            <w:pPr>
              <w:pStyle w:val="1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湖南广安建筑责任有限公司</w:t>
            </w:r>
          </w:p>
        </w:tc>
      </w:tr>
      <w:tr w:rsidR="00D93C74" w:rsidTr="000856DC">
        <w:trPr>
          <w:trHeight w:val="705"/>
        </w:trPr>
        <w:tc>
          <w:tcPr>
            <w:tcW w:w="230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C74" w:rsidRDefault="00D93C74" w:rsidP="00D93C74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C74" w:rsidRPr="000B28C8" w:rsidRDefault="00D93C74" w:rsidP="00333BA1">
            <w:pPr>
              <w:pStyle w:val="11"/>
              <w:jc w:val="center"/>
              <w:rPr>
                <w:sz w:val="24"/>
              </w:rPr>
            </w:pPr>
            <w:r w:rsidRPr="000B28C8">
              <w:rPr>
                <w:rFonts w:hint="eastAsia"/>
                <w:sz w:val="24"/>
                <w:szCs w:val="24"/>
              </w:rPr>
              <w:t>盐城健雄电气安装工程有限公司</w:t>
            </w:r>
          </w:p>
        </w:tc>
      </w:tr>
      <w:tr w:rsidR="00BB2972" w:rsidTr="000856DC">
        <w:trPr>
          <w:trHeight w:val="701"/>
        </w:trPr>
        <w:tc>
          <w:tcPr>
            <w:tcW w:w="23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972" w:rsidRDefault="00D93C74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发文单位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972" w:rsidRDefault="00D93C74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常州正衡电力工程监理有限公司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972" w:rsidRDefault="00D93C74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发文时间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972" w:rsidRDefault="00BB2972">
            <w:pPr>
              <w:spacing w:before="100" w:after="100"/>
              <w:jc w:val="center"/>
              <w:rPr>
                <w:rFonts w:ascii="宋体" w:hAnsi="宋体"/>
                <w:spacing w:val="40"/>
                <w:sz w:val="24"/>
                <w:szCs w:val="18"/>
              </w:rPr>
            </w:pPr>
          </w:p>
        </w:tc>
      </w:tr>
    </w:tbl>
    <w:p w:rsidR="00BB2972" w:rsidRDefault="00D93C74">
      <w:pPr>
        <w:spacing w:beforeLines="20" w:before="62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黑体" w:eastAsia="黑体" w:hAnsi="宋体" w:hint="eastAsia"/>
          <w:sz w:val="18"/>
          <w:szCs w:val="18"/>
        </w:rPr>
        <w:t>注</w:t>
      </w:r>
      <w:r>
        <w:rPr>
          <w:rFonts w:ascii="宋体" w:hAnsi="宋体" w:hint="eastAsia"/>
          <w:sz w:val="18"/>
          <w:szCs w:val="18"/>
        </w:rPr>
        <w:t xml:space="preserve">  会议纪要由监理项目部起草，经总监理工程师签发后下发。</w:t>
      </w:r>
    </w:p>
    <w:sectPr w:rsidR="00BB2972" w:rsidSect="00D93C74"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C2BC7"/>
    <w:multiLevelType w:val="multilevel"/>
    <w:tmpl w:val="15EC2BC7"/>
    <w:lvl w:ilvl="0">
      <w:start w:val="1"/>
      <w:numFmt w:val="decimal"/>
      <w:lvlText w:val="%1."/>
      <w:lvlJc w:val="left"/>
      <w:pPr>
        <w:ind w:left="777" w:hanging="420"/>
      </w:pPr>
      <w:rPr>
        <w:sz w:val="22"/>
      </w:r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">
    <w:nsid w:val="344C1867"/>
    <w:multiLevelType w:val="multilevel"/>
    <w:tmpl w:val="15EC2BC7"/>
    <w:lvl w:ilvl="0">
      <w:start w:val="1"/>
      <w:numFmt w:val="decimal"/>
      <w:lvlText w:val="%1."/>
      <w:lvlJc w:val="left"/>
      <w:pPr>
        <w:ind w:left="777" w:hanging="420"/>
      </w:pPr>
      <w:rPr>
        <w:sz w:val="22"/>
      </w:r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">
    <w:nsid w:val="48884075"/>
    <w:multiLevelType w:val="multilevel"/>
    <w:tmpl w:val="DD000220"/>
    <w:lvl w:ilvl="0">
      <w:start w:val="1"/>
      <w:numFmt w:val="decimal"/>
      <w:lvlText w:val="%1."/>
      <w:lvlJc w:val="left"/>
      <w:pPr>
        <w:ind w:left="777" w:hanging="420"/>
      </w:pPr>
      <w:rPr>
        <w:sz w:val="22"/>
      </w:r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3">
    <w:nsid w:val="671A3049"/>
    <w:multiLevelType w:val="multilevel"/>
    <w:tmpl w:val="15EC2BC7"/>
    <w:lvl w:ilvl="0">
      <w:start w:val="1"/>
      <w:numFmt w:val="decimal"/>
      <w:lvlText w:val="%1."/>
      <w:lvlJc w:val="left"/>
      <w:pPr>
        <w:ind w:left="777" w:hanging="420"/>
      </w:pPr>
      <w:rPr>
        <w:sz w:val="22"/>
      </w:r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4">
    <w:nsid w:val="72A561B7"/>
    <w:multiLevelType w:val="multilevel"/>
    <w:tmpl w:val="15EC2BC7"/>
    <w:lvl w:ilvl="0">
      <w:start w:val="1"/>
      <w:numFmt w:val="decimal"/>
      <w:lvlText w:val="%1."/>
      <w:lvlJc w:val="left"/>
      <w:pPr>
        <w:ind w:left="777" w:hanging="420"/>
      </w:pPr>
      <w:rPr>
        <w:sz w:val="22"/>
      </w:r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C8"/>
    <w:rsid w:val="00023685"/>
    <w:rsid w:val="000856DC"/>
    <w:rsid w:val="00090A88"/>
    <w:rsid w:val="000A0F42"/>
    <w:rsid w:val="000B3AC4"/>
    <w:rsid w:val="000B4CA5"/>
    <w:rsid w:val="000F74B1"/>
    <w:rsid w:val="001A7C11"/>
    <w:rsid w:val="001D413F"/>
    <w:rsid w:val="001D4FBF"/>
    <w:rsid w:val="00217ADC"/>
    <w:rsid w:val="002745B0"/>
    <w:rsid w:val="00282825"/>
    <w:rsid w:val="00296B20"/>
    <w:rsid w:val="00297112"/>
    <w:rsid w:val="002D2569"/>
    <w:rsid w:val="002E20BE"/>
    <w:rsid w:val="00305F32"/>
    <w:rsid w:val="003432E3"/>
    <w:rsid w:val="003441E7"/>
    <w:rsid w:val="003865D1"/>
    <w:rsid w:val="003D175E"/>
    <w:rsid w:val="003D362E"/>
    <w:rsid w:val="003D6E92"/>
    <w:rsid w:val="00416170"/>
    <w:rsid w:val="00426FE9"/>
    <w:rsid w:val="004359DE"/>
    <w:rsid w:val="00455E13"/>
    <w:rsid w:val="00457DB4"/>
    <w:rsid w:val="004748F5"/>
    <w:rsid w:val="004846A5"/>
    <w:rsid w:val="00502D2C"/>
    <w:rsid w:val="005217AC"/>
    <w:rsid w:val="005258D9"/>
    <w:rsid w:val="00533B88"/>
    <w:rsid w:val="00546F9C"/>
    <w:rsid w:val="005616BD"/>
    <w:rsid w:val="00581E2F"/>
    <w:rsid w:val="005907D5"/>
    <w:rsid w:val="00592DC8"/>
    <w:rsid w:val="005A6F26"/>
    <w:rsid w:val="005B366B"/>
    <w:rsid w:val="005C3DB3"/>
    <w:rsid w:val="006041C5"/>
    <w:rsid w:val="006A13D1"/>
    <w:rsid w:val="006A7E2E"/>
    <w:rsid w:val="006C547A"/>
    <w:rsid w:val="006E46FE"/>
    <w:rsid w:val="006E6826"/>
    <w:rsid w:val="00705312"/>
    <w:rsid w:val="007B72FE"/>
    <w:rsid w:val="007C3B50"/>
    <w:rsid w:val="007D378E"/>
    <w:rsid w:val="007F3BE2"/>
    <w:rsid w:val="00801038"/>
    <w:rsid w:val="00817627"/>
    <w:rsid w:val="00892D63"/>
    <w:rsid w:val="00894418"/>
    <w:rsid w:val="008C1AEF"/>
    <w:rsid w:val="008C46B0"/>
    <w:rsid w:val="008D0D8F"/>
    <w:rsid w:val="008D311E"/>
    <w:rsid w:val="00937E68"/>
    <w:rsid w:val="00945109"/>
    <w:rsid w:val="00990E35"/>
    <w:rsid w:val="00992D22"/>
    <w:rsid w:val="009B588E"/>
    <w:rsid w:val="009C1F87"/>
    <w:rsid w:val="00A349EB"/>
    <w:rsid w:val="00A65048"/>
    <w:rsid w:val="00A75BD0"/>
    <w:rsid w:val="00A76958"/>
    <w:rsid w:val="00AC6FCD"/>
    <w:rsid w:val="00AF4A40"/>
    <w:rsid w:val="00B7156C"/>
    <w:rsid w:val="00B72C13"/>
    <w:rsid w:val="00B74BF5"/>
    <w:rsid w:val="00BA18F2"/>
    <w:rsid w:val="00BB2972"/>
    <w:rsid w:val="00BC39F4"/>
    <w:rsid w:val="00BC5E7A"/>
    <w:rsid w:val="00C21321"/>
    <w:rsid w:val="00C36CBB"/>
    <w:rsid w:val="00C53358"/>
    <w:rsid w:val="00C61D9B"/>
    <w:rsid w:val="00C64B0A"/>
    <w:rsid w:val="00C66382"/>
    <w:rsid w:val="00C8013F"/>
    <w:rsid w:val="00C82F62"/>
    <w:rsid w:val="00CE3E2B"/>
    <w:rsid w:val="00CE6311"/>
    <w:rsid w:val="00CE6439"/>
    <w:rsid w:val="00D51746"/>
    <w:rsid w:val="00D70379"/>
    <w:rsid w:val="00D775FC"/>
    <w:rsid w:val="00D85CE9"/>
    <w:rsid w:val="00D8717C"/>
    <w:rsid w:val="00D93C74"/>
    <w:rsid w:val="00D95626"/>
    <w:rsid w:val="00DF7EAD"/>
    <w:rsid w:val="00E30387"/>
    <w:rsid w:val="00E37DE9"/>
    <w:rsid w:val="00E560D7"/>
    <w:rsid w:val="00E63251"/>
    <w:rsid w:val="00E864F3"/>
    <w:rsid w:val="00E86DA9"/>
    <w:rsid w:val="00E900A5"/>
    <w:rsid w:val="00EF5AD9"/>
    <w:rsid w:val="00F11587"/>
    <w:rsid w:val="00F152BD"/>
    <w:rsid w:val="00F50C75"/>
    <w:rsid w:val="00F651B8"/>
    <w:rsid w:val="00F94FD5"/>
    <w:rsid w:val="00FA3E17"/>
    <w:rsid w:val="1C731409"/>
    <w:rsid w:val="1EC87ED0"/>
    <w:rsid w:val="3AE138A5"/>
    <w:rsid w:val="455C3F32"/>
    <w:rsid w:val="67E81E06"/>
    <w:rsid w:val="6BDF7455"/>
    <w:rsid w:val="7AA5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paragraph" w:customStyle="1" w:styleId="D3">
    <w:name w:val="D3"/>
    <w:basedOn w:val="a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</w:rPr>
  </w:style>
  <w:style w:type="paragraph" w:customStyle="1" w:styleId="2">
    <w:name w:val="列出段落2"/>
    <w:basedOn w:val="a"/>
    <w:uiPriority w:val="99"/>
    <w:unhideWhenUsed/>
    <w:pPr>
      <w:ind w:firstLineChars="200" w:firstLine="420"/>
    </w:pPr>
  </w:style>
  <w:style w:type="character" w:customStyle="1" w:styleId="Char1">
    <w:name w:val="标题 Char"/>
    <w:link w:val="a5"/>
    <w:rPr>
      <w:rFonts w:ascii="宋体" w:eastAsia="宋体" w:hAnsi="宋体" w:cs="Times New Roman"/>
      <w:szCs w:val="20"/>
    </w:rPr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paragraph" w:customStyle="1" w:styleId="D3">
    <w:name w:val="D3"/>
    <w:basedOn w:val="a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</w:rPr>
  </w:style>
  <w:style w:type="paragraph" w:customStyle="1" w:styleId="2">
    <w:name w:val="列出段落2"/>
    <w:basedOn w:val="a"/>
    <w:uiPriority w:val="99"/>
    <w:unhideWhenUsed/>
    <w:pPr>
      <w:ind w:firstLineChars="200" w:firstLine="420"/>
    </w:pPr>
  </w:style>
  <w:style w:type="character" w:customStyle="1" w:styleId="Char1">
    <w:name w:val="标题 Char"/>
    <w:link w:val="a5"/>
    <w:rPr>
      <w:rFonts w:ascii="宋体" w:eastAsia="宋体" w:hAnsi="宋体" w:cs="Times New Roman"/>
      <w:szCs w:val="20"/>
    </w:rPr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157</Words>
  <Characters>898</Characters>
  <Application>Microsoft Office Word</Application>
  <DocSecurity>0</DocSecurity>
  <Lines>7</Lines>
  <Paragraphs>2</Paragraphs>
  <ScaleCrop>false</ScaleCrop>
  <Company>Microsoft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JXMB8  会议纪要</dc:title>
  <dc:creator>天道酬勤</dc:creator>
  <cp:lastModifiedBy>天道酬勤</cp:lastModifiedBy>
  <cp:revision>5</cp:revision>
  <dcterms:created xsi:type="dcterms:W3CDTF">2015-07-27T03:25:00Z</dcterms:created>
  <dcterms:modified xsi:type="dcterms:W3CDTF">2015-07-31T09:49:00Z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