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议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纪 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表号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:XSFTGD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CZZH-74-19-01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u w:val="single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签发：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会议时间:2015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吉冠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会议室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会议参加人员：</w:t>
      </w:r>
      <w:bookmarkStart w:id="0" w:name="_GoBack"/>
      <w:r>
        <w:rPr>
          <w:rFonts w:hint="eastAsia" w:ascii="宋体" w:hAnsi="宋体" w:cs="宋体"/>
          <w:sz w:val="24"/>
          <w:szCs w:val="24"/>
          <w:lang w:val="en-US" w:eastAsia="zh-CN"/>
        </w:rPr>
        <w:t>邹新江、周源、赵毅、卢博、林树悦</w:t>
      </w:r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主持人：赵毅              记录：卢博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会议议题及主要内容：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监理单位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此次召开第一次监理例会，首先由监理单位确定于每周五上午9:30分召开监理例会，望各方单位准时参加。</w:t>
      </w:r>
    </w:p>
    <w:p>
      <w:pPr>
        <w:spacing w:line="24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2、要求施工单位将</w:t>
      </w:r>
      <w:r>
        <w:rPr>
          <w:rFonts w:hint="eastAsia" w:ascii="宋体" w:hAnsi="宋体" w:cs="宋体"/>
          <w:bCs/>
          <w:sz w:val="24"/>
          <w:lang w:val="en-US" w:eastAsia="zh-CN"/>
        </w:rPr>
        <w:t>施工单位资质（分包资质）、项目组织机构，人员名单及特殊工种作业证件、进场材料设备报审、施工组织设计及专项方案、开工报告、施工进度计划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及已施工完成作业面过程验评资料编制完成上报监理部审查。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施工现场厂区之间较为分散，望施工参建单位管理人员加强现场监控力度，确保现场施工质量、安全、进度处于受控状态，在保证现场施工质量、安全前提条件下，以最短周期完成业主单位预定的工期任务，确保项目顺利并网、发电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建施工方近期内需将前期未完善工程开工前期资料补交完成，并将已制定完成工期计划及材料到货计划以正式文件形式上报，若存在需调整工期节点，必须经过监理部确认。计划得到审批后，将按照节点计划严格执行，务必在既定的工期计划内完成厂区施工内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施工单位严格执行三级质检、四级验收程序，在经工序自检合格基础上，报请监理部进行工序验收。未经验收合格工序，不得进入下一道工序施工。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施工质量方面要求各级管理人员加大现场抽查力度，发现不符合要求部位，立即加以整改完善。现场施工人员施工安全及上下班安全必须尽快完善安全交底工作，同时交底至个人，待施工人员各自签字后以正式文件进行上报，交底工作应详尽，提高施工人员安全意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施工单位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</w:t>
      </w:r>
    </w:p>
    <w:p>
      <w:pPr>
        <w:numPr>
          <w:ilvl w:val="0"/>
          <w:numId w:val="2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我方各项前期所需准备资料已全部编制完成，本周内报监理单位。</w:t>
      </w:r>
    </w:p>
    <w:p>
      <w:pPr>
        <w:numPr>
          <w:ilvl w:val="0"/>
          <w:numId w:val="2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人员进厂前技术交底及安全交底已全部完成，可立即机场施工。</w:t>
      </w:r>
    </w:p>
    <w:p>
      <w:pPr>
        <w:numPr>
          <w:ilvl w:val="0"/>
          <w:numId w:val="2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各项施工所需材料准备齐全，各特殊工种人员证件齐全有效。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业主张总：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望施工单位积极配合我方及监理单位工作，保证顺利完成并网。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现场施工当中安全文明施工要加强，避免出现不必要安全事故。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监理单位已进厂，望贵单位做好现场安全、进度、质量各方面的有效把控。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     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_GB2312" w:eastAsia="仿宋_GB2312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本表一式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三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份，参加会议单位各存一份，项目监理部存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一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446210">
    <w:nsid w:val="573A6AC2"/>
    <w:multiLevelType w:val="singleLevel"/>
    <w:tmpl w:val="573A6AC2"/>
    <w:lvl w:ilvl="0" w:tentative="1">
      <w:start w:val="1"/>
      <w:numFmt w:val="decimal"/>
      <w:suff w:val="nothing"/>
      <w:lvlText w:val="%1、"/>
      <w:lvlJc w:val="left"/>
    </w:lvl>
  </w:abstractNum>
  <w:abstractNum w:abstractNumId="1444549263">
    <w:nsid w:val="561A128F"/>
    <w:multiLevelType w:val="singleLevel"/>
    <w:tmpl w:val="561A128F"/>
    <w:lvl w:ilvl="0" w:tentative="1">
      <w:start w:val="1"/>
      <w:numFmt w:val="decimal"/>
      <w:suff w:val="nothing"/>
      <w:lvlText w:val="%1、"/>
      <w:lvlJc w:val="left"/>
    </w:lvl>
  </w:abstractNum>
  <w:abstractNum w:abstractNumId="1444547950">
    <w:nsid w:val="561A0D6E"/>
    <w:multiLevelType w:val="singleLevel"/>
    <w:tmpl w:val="561A0D6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4547950"/>
  </w:num>
  <w:num w:numId="2">
    <w:abstractNumId w:val="1444549263"/>
  </w:num>
  <w:num w:numId="3">
    <w:abstractNumId w:val="14634462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245B7"/>
    <w:rsid w:val="1C5245B7"/>
    <w:rsid w:val="32120B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2016-05-17T00:41:00Z</dcterms:created>
  <dc:creator>Administrator</dc:creator>
  <cp:lastModifiedBy>Administrator</cp:lastModifiedBy>
  <dcterms:modified xsi:type="dcterms:W3CDTF">2016-05-27T01:51:13Z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