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z w:val="36"/>
          <w:szCs w:val="36"/>
        </w:rPr>
      </w:pPr>
      <w:r>
        <w:rPr>
          <w:rFonts w:hint="eastAsia"/>
          <w:sz w:val="36"/>
          <w:szCs w:val="36"/>
        </w:rPr>
        <w:t>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议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纪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要</w:t>
      </w:r>
    </w:p>
    <w:p>
      <w:pPr>
        <w:topLinePunct/>
        <w:ind w:firstLine="724" w:firstLineChars="249"/>
        <w:rPr>
          <w:b/>
          <w:color w:val="000000"/>
          <w:kern w:val="21"/>
          <w:sz w:val="18"/>
          <w:szCs w:val="18"/>
        </w:rPr>
      </w:pPr>
      <w:r>
        <w:rPr>
          <w:rFonts w:hint="eastAsia" w:ascii="宋体" w:hAnsi="宋体"/>
          <w:b/>
          <w:spacing w:val="40"/>
        </w:rPr>
        <w:t xml:space="preserve">                            </w:t>
      </w:r>
    </w:p>
    <w:p>
      <w:pPr>
        <w:topLinePunct/>
        <w:rPr>
          <w:color w:val="000000"/>
          <w:kern w:val="21"/>
          <w:sz w:val="18"/>
          <w:szCs w:val="18"/>
        </w:rPr>
      </w:pPr>
      <w:r>
        <w:rPr>
          <w:rFonts w:hAnsi="宋体"/>
          <w:color w:val="000000"/>
          <w:kern w:val="21"/>
          <w:sz w:val="21"/>
          <w:szCs w:val="21"/>
        </w:rPr>
        <w:t>工程名称</w:t>
      </w:r>
      <w:r>
        <w:rPr>
          <w:rFonts w:hAnsi="宋体"/>
          <w:color w:val="000000"/>
          <w:kern w:val="21"/>
          <w:sz w:val="18"/>
          <w:szCs w:val="18"/>
        </w:rPr>
        <w:t>：</w:t>
      </w:r>
      <w:r>
        <w:rPr>
          <w:rFonts w:hint="eastAsia" w:hAnsi="宋体"/>
          <w:color w:val="000000"/>
          <w:kern w:val="21"/>
          <w:sz w:val="18"/>
          <w:szCs w:val="18"/>
          <w:lang w:val="en-US" w:eastAsia="zh-CN"/>
        </w:rPr>
        <w:t xml:space="preserve">图木舒克市四通新能源第三师45团20MW光伏并网发电项目   </w:t>
      </w:r>
      <w:r>
        <w:rPr>
          <w:rFonts w:hint="eastAsia"/>
          <w:color w:val="000000"/>
          <w:kern w:val="21"/>
          <w:sz w:val="21"/>
          <w:szCs w:val="21"/>
          <w:lang w:val="en-US" w:eastAsia="zh-CN"/>
        </w:rPr>
        <w:t>编号</w:t>
      </w:r>
      <w:r>
        <w:rPr>
          <w:rFonts w:hint="eastAsia"/>
          <w:color w:val="000000"/>
          <w:kern w:val="21"/>
          <w:sz w:val="18"/>
          <w:szCs w:val="18"/>
          <w:lang w:val="en-US" w:eastAsia="zh-CN"/>
        </w:rPr>
        <w:t>：JXMB8-006</w:t>
      </w:r>
      <w:r>
        <w:rPr>
          <w:color w:val="000000"/>
          <w:kern w:val="21"/>
          <w:sz w:val="18"/>
          <w:szCs w:val="18"/>
        </w:rPr>
        <w:t xml:space="preserve"> </w:t>
      </w:r>
      <w:r>
        <w:rPr>
          <w:rFonts w:hAnsi="宋体"/>
          <w:color w:val="000000"/>
          <w:kern w:val="21"/>
          <w:sz w:val="21"/>
          <w:szCs w:val="21"/>
        </w:rPr>
        <w:t>签发</w:t>
      </w:r>
      <w:r>
        <w:rPr>
          <w:rFonts w:hAnsi="宋体"/>
          <w:color w:val="000000"/>
          <w:kern w:val="21"/>
          <w:sz w:val="18"/>
          <w:szCs w:val="18"/>
        </w:rPr>
        <w:t>：</w:t>
      </w:r>
      <w:r>
        <w:rPr>
          <w:color w:val="000000"/>
          <w:kern w:val="21"/>
          <w:sz w:val="18"/>
          <w:szCs w:val="18"/>
        </w:rPr>
        <w:t xml:space="preserve">        </w:t>
      </w:r>
    </w:p>
    <w:tbl>
      <w:tblPr>
        <w:tblStyle w:val="4"/>
        <w:tblW w:w="9720" w:type="dxa"/>
        <w:tblInd w:w="-64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676"/>
        <w:gridCol w:w="2380"/>
        <w:gridCol w:w="1042"/>
        <w:gridCol w:w="1200"/>
        <w:gridCol w:w="263"/>
        <w:gridCol w:w="17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1"/>
                <w:szCs w:val="21"/>
              </w:rPr>
              <w:t>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点</w:t>
            </w:r>
          </w:p>
        </w:tc>
        <w:tc>
          <w:tcPr>
            <w:tcW w:w="238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sz w:val="21"/>
                <w:szCs w:val="21"/>
                <w:lang w:val="en-US" w:eastAsia="zh-CN"/>
              </w:rPr>
              <w:t>现场会议室</w:t>
            </w:r>
          </w:p>
        </w:tc>
        <w:tc>
          <w:tcPr>
            <w:tcW w:w="250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间</w:t>
            </w:r>
          </w:p>
        </w:tc>
        <w:tc>
          <w:tcPr>
            <w:tcW w:w="173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sz w:val="18"/>
                <w:szCs w:val="18"/>
                <w:lang w:val="en-US" w:eastAsia="zh-CN"/>
              </w:rPr>
              <w:t>2016.5、22、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主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人</w:t>
            </w:r>
          </w:p>
        </w:tc>
        <w:tc>
          <w:tcPr>
            <w:tcW w:w="662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b/>
                <w:spacing w:val="4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40"/>
                <w:sz w:val="21"/>
                <w:szCs w:val="21"/>
                <w:lang w:val="en-US" w:eastAsia="zh-CN"/>
              </w:rPr>
              <w:t>蔡总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9" w:hRule="atLeast"/>
        </w:trPr>
        <w:tc>
          <w:tcPr>
            <w:tcW w:w="9720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会议主题：各施工方施工进度、存在的问题及业主的要求。</w:t>
            </w:r>
          </w:p>
          <w:p>
            <w:pPr>
              <w:tabs>
                <w:tab w:val="left" w:pos="245"/>
              </w:tabs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会议内容：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一  江苏天力任斌：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1  上周施工进度情况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 支架基础全部浇筑完成；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2） 箱、逆变基础全部浇筑完成；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3） 箱、逆变基础穿线管开挖完成2#、3#、4#三个区；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4） 支架基础沥青漆防腐全部完成。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2  下周施工进度安排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 箱、逆变基础穿线管敷设完成，基础回填完成；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2） 箱、逆变基础爬梯全部完成，逆变器基础踏步完成4个区；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3） 现有施工人员80人，装载机4台，搅拌机2台。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3  需要解决的问题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支架构配件抓紧时间进场。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二  喀什华峰胡世博：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1  上周施工进度情况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 室内电缆沟浇筑完成，防腐、回填完成；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2） 值班室基础浇筑完成，防腐、回填完成；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3） 开关站梁、板、柱支模完成；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4） 现场施工人员20人。     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2  下周施工进度安排</w:t>
            </w:r>
          </w:p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 开关站梁、板、柱浇筑完成；  2） 值班室主题抹灰完成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三  正衡监理赵晓红</w:t>
            </w: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1  喀什华峰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1） 开关站施工现场材料堆放混乱，应及时进行清理；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2） 开关站屋面施工应搭设爬梯，便于施工人员上下作业；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3） 满堂架应加设剪刀撑，确保满堂架的牢固性。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2  江苏天力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1） 桩基防腐质量差，需加强施工质量管理，对不合格的防腐及时进行修复；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2） 箱、逆变基础爬梯应结合图纸和现场设备安装进行施工；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3） 箱、逆变设备安装前应先确定设备型号，按照设计要求，对号安装。  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四  四通新能源蔡总：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各施工方应紧紧围绕6、30并网节点，合理安排施工顺序，及时采购施工材料，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积极调配施工设备，抢工抢时，必要时合理安排加班，110KV扩建部分及开关站部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分5月31日前必须具备设备安装条件，保证后期电气设备安装顺利进行。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五  四通新能源谢总：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1  接地扁铁材料应尽快进场，同事防腐导电涂料应一并同事采购，接地扁铁涂刷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防腐导电涂层时，应及时检测涂层的导电性能；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2  焊接接地扁铁时，搭接长度必须符合设计要求，焊缝要平整美观；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3  喀什华峰室外设备基础应同事加紧施工。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六  四通新能源晁工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各施工方施工过程中发现的技术、质量问题，应及时同业主、监理进行沟通，避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免出现不必要的错误，影响施工进度。             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20" w:type="dxa"/>
            <w:gridSpan w:val="7"/>
            <w:tcMar>
              <w:left w:w="0" w:type="dxa"/>
              <w:right w:w="0" w:type="dxa"/>
            </w:tcMar>
            <w:vAlign w:val="top"/>
          </w:tcPr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上次会议落实情况问题：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相关的施工蓝图应尽快落实，以便于现场施工。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主送单位</w:t>
            </w:r>
          </w:p>
        </w:tc>
        <w:tc>
          <w:tcPr>
            <w:tcW w:w="730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both"/>
              <w:rPr>
                <w:rFonts w:hint="eastAsia" w:ascii="宋体" w:hAnsi="宋体" w:eastAsiaTheme="minorEastAsia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  <w:t xml:space="preserve"> 江苏天力   喀什华峰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抄送单位</w:t>
            </w:r>
          </w:p>
        </w:tc>
        <w:tc>
          <w:tcPr>
            <w:tcW w:w="730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both"/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  <w:t xml:space="preserve"> 四通新能源有限公司项目部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发文单位</w:t>
            </w:r>
          </w:p>
        </w:tc>
        <w:tc>
          <w:tcPr>
            <w:tcW w:w="409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  <w:t>常州正衡电力工程监理有限公司项目监理部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发文时间</w:t>
            </w:r>
          </w:p>
        </w:tc>
        <w:tc>
          <w:tcPr>
            <w:tcW w:w="20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sz w:val="18"/>
                <w:szCs w:val="18"/>
                <w:lang w:val="en-US" w:eastAsia="zh-CN"/>
              </w:rPr>
              <w:t>2016、5、22</w:t>
            </w:r>
            <w:bookmarkStart w:id="0" w:name="_GoBack"/>
            <w:bookmarkEnd w:id="0"/>
            <w:r>
              <w:rPr>
                <w:rFonts w:hint="eastAsia" w:ascii="宋体" w:hAnsi="宋体"/>
                <w:spacing w:val="40"/>
                <w:sz w:val="18"/>
                <w:szCs w:val="18"/>
                <w:lang w:val="en-US" w:eastAsia="zh-CN"/>
              </w:rPr>
              <w:t>、</w:t>
            </w:r>
          </w:p>
        </w:tc>
      </w:tr>
    </w:tbl>
    <w:p>
      <w:pPr>
        <w:spacing w:before="62" w:beforeLines="20"/>
        <w:ind w:firstLine="36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注</w:t>
      </w:r>
      <w:r>
        <w:rPr>
          <w:rFonts w:hint="eastAsia" w:ascii="宋体" w:hAnsi="宋体"/>
          <w:sz w:val="21"/>
          <w:szCs w:val="21"/>
        </w:rPr>
        <w:t xml:space="preserve">  会议纪要由监理项目部起草，经总监理工程师签发后下发。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802E0"/>
    <w:rsid w:val="02F505CE"/>
    <w:rsid w:val="04242C11"/>
    <w:rsid w:val="04471EE4"/>
    <w:rsid w:val="0686150C"/>
    <w:rsid w:val="07FA251A"/>
    <w:rsid w:val="08A61E96"/>
    <w:rsid w:val="0A042BEB"/>
    <w:rsid w:val="0ACF2068"/>
    <w:rsid w:val="0BC23F55"/>
    <w:rsid w:val="0DFD2395"/>
    <w:rsid w:val="10D14209"/>
    <w:rsid w:val="126F29FA"/>
    <w:rsid w:val="14C04E3E"/>
    <w:rsid w:val="17395E06"/>
    <w:rsid w:val="180B7822"/>
    <w:rsid w:val="1829575E"/>
    <w:rsid w:val="22AA018A"/>
    <w:rsid w:val="247F2517"/>
    <w:rsid w:val="24F93B80"/>
    <w:rsid w:val="2B905ADC"/>
    <w:rsid w:val="2FE86734"/>
    <w:rsid w:val="309D56E5"/>
    <w:rsid w:val="331002CB"/>
    <w:rsid w:val="35062043"/>
    <w:rsid w:val="3F3F557D"/>
    <w:rsid w:val="44A11421"/>
    <w:rsid w:val="46821259"/>
    <w:rsid w:val="478F7021"/>
    <w:rsid w:val="4A350332"/>
    <w:rsid w:val="4BC044CC"/>
    <w:rsid w:val="4BF2271D"/>
    <w:rsid w:val="508230B4"/>
    <w:rsid w:val="52AD7D37"/>
    <w:rsid w:val="5B4F2358"/>
    <w:rsid w:val="5C094E07"/>
    <w:rsid w:val="5C3210C3"/>
    <w:rsid w:val="5D950664"/>
    <w:rsid w:val="6CBD3CC1"/>
    <w:rsid w:val="6F296BE6"/>
    <w:rsid w:val="6FD86E1C"/>
    <w:rsid w:val="7BA465F5"/>
    <w:rsid w:val="7DE97E74"/>
    <w:rsid w:val="7E1802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2016-05-14T04:22:00Z</dcterms:created>
  <dc:creator>sam</dc:creator>
  <cp:lastModifiedBy>sam</cp:lastModifiedBy>
  <cp:lastPrinted>2016-05-22T11:16:00Z</cp:lastPrinted>
  <dcterms:modified xsi:type="dcterms:W3CDTF">2016-06-05T14:51:36Z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