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kern w:val="2"/>
        </w:rPr>
      </w:pPr>
      <w:r>
        <w:rPr>
          <w:rFonts w:hint="eastAsia"/>
          <w:kern w:val="2"/>
        </w:rPr>
        <w:t>GFDZJBM09：会议纪要</w:t>
      </w:r>
    </w:p>
    <w:p>
      <w:pPr>
        <w:pStyle w:val="7"/>
      </w:pPr>
      <w:r>
        <w:t>会  议  纪  要</w:t>
      </w:r>
    </w:p>
    <w:p>
      <w:pPr>
        <w:tabs>
          <w:tab w:val="left" w:pos="6237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ab/>
      </w:r>
      <w:r>
        <w:rPr>
          <w:kern w:val="21"/>
          <w:sz w:val="18"/>
          <w:szCs w:val="18"/>
        </w:rPr>
        <w:t>编号：</w:t>
      </w:r>
      <w:r>
        <w:rPr>
          <w:rFonts w:hint="eastAsia"/>
          <w:kern w:val="21"/>
          <w:sz w:val="18"/>
          <w:szCs w:val="18"/>
          <w:lang w:val="en-US" w:eastAsia="zh-CN"/>
        </w:rPr>
        <w:t>SZLX-ZHJL-001</w:t>
      </w:r>
      <w:r>
        <w:rPr>
          <w:rFonts w:hint="eastAsia"/>
          <w:kern w:val="21"/>
          <w:sz w:val="18"/>
          <w:szCs w:val="18"/>
        </w:rPr>
        <w:t xml:space="preserve">  </w:t>
      </w:r>
    </w:p>
    <w:p>
      <w:pPr>
        <w:tabs>
          <w:tab w:val="left" w:pos="5390"/>
        </w:tabs>
        <w:topLinePunct/>
        <w:ind w:firstLine="360" w:firstLineChars="200"/>
        <w:rPr>
          <w:kern w:val="21"/>
          <w:sz w:val="18"/>
          <w:szCs w:val="18"/>
        </w:rPr>
      </w:pPr>
      <w:r>
        <w:rPr>
          <w:rFonts w:hint="eastAsia"/>
          <w:kern w:val="21"/>
          <w:sz w:val="18"/>
          <w:szCs w:val="18"/>
        </w:rPr>
        <w:t xml:space="preserve">工程名称：苏州乐轩2.0184MWp分布式光伏电站项目       签发：   </w:t>
      </w:r>
      <w:r>
        <w:rPr>
          <w:rFonts w:hint="eastAsia"/>
          <w:kern w:val="21"/>
          <w:sz w:val="18"/>
          <w:szCs w:val="18"/>
        </w:rPr>
        <w:tab/>
      </w:r>
    </w:p>
    <w:tbl>
      <w:tblPr>
        <w:tblStyle w:val="5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54"/>
        <w:gridCol w:w="578"/>
        <w:gridCol w:w="2281"/>
        <w:gridCol w:w="743"/>
        <w:gridCol w:w="960"/>
        <w:gridCol w:w="474"/>
        <w:gridCol w:w="18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68" w:hRule="atLeast"/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会议地点</w:t>
            </w:r>
          </w:p>
        </w:tc>
        <w:tc>
          <w:tcPr>
            <w:tcW w:w="228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</w:tc>
        <w:tc>
          <w:tcPr>
            <w:tcW w:w="170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会议时间</w:t>
            </w:r>
          </w:p>
        </w:tc>
        <w:tc>
          <w:tcPr>
            <w:tcW w:w="2347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2017年3月30日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8" w:hRule="atLeast"/>
          <w:jc w:val="center"/>
        </w:trPr>
        <w:tc>
          <w:tcPr>
            <w:tcW w:w="203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会议主持人</w:t>
            </w:r>
          </w:p>
        </w:tc>
        <w:tc>
          <w:tcPr>
            <w:tcW w:w="6331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夏明权、孟文伟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11" w:hRule="atLeast"/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会议主题：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kern w:val="21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/>
                <w:kern w:val="21"/>
                <w:sz w:val="18"/>
                <w:szCs w:val="18"/>
              </w:rPr>
              <w:t>苏州乐轩2.0184MWp分布式光伏电站项目</w:t>
            </w:r>
            <w:r>
              <w:rPr>
                <w:rFonts w:hint="eastAsia"/>
                <w:kern w:val="21"/>
                <w:sz w:val="18"/>
                <w:szCs w:val="18"/>
                <w:lang w:val="en-US" w:eastAsia="zh-CN"/>
              </w:rPr>
              <w:t>首次工程例会及材料样品确认。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上次会议问题落实情况：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8363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本次会议内容：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监理单位：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孟文伟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1、</w:t>
            </w:r>
            <w:r>
              <w:rPr>
                <w:rFonts w:hint="eastAsia"/>
                <w:sz w:val="18"/>
                <w:szCs w:val="18"/>
              </w:rPr>
              <w:t>所有进场材料必须监理参加开箱报验，验收合格方可进场使用；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2、</w:t>
            </w:r>
            <w:r>
              <w:rPr>
                <w:rFonts w:hint="eastAsia"/>
                <w:sz w:val="18"/>
                <w:szCs w:val="18"/>
              </w:rPr>
              <w:t>所有进场施工人员进场前必须进行安全及技术交底，进入施工现场必须正确穿戴好劳动防护用品，高空作业必须进行安全防护措施，严禁施工人员酒后作业；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3、</w:t>
            </w:r>
            <w:r>
              <w:rPr>
                <w:rFonts w:hint="eastAsia"/>
                <w:sz w:val="18"/>
                <w:szCs w:val="18"/>
              </w:rPr>
              <w:t>临时用电必须进行安全防护措施及醒目标识，不得随意乱搭乱拉电线；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4、</w:t>
            </w:r>
            <w:r>
              <w:rPr>
                <w:rFonts w:hint="eastAsia"/>
                <w:sz w:val="18"/>
                <w:szCs w:val="18"/>
              </w:rPr>
              <w:t>工地监理例会每月周召开一次，会议时间定于每周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/>
                <w:sz w:val="18"/>
                <w:szCs w:val="18"/>
              </w:rPr>
              <w:t>下午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/>
                <w:sz w:val="18"/>
                <w:szCs w:val="18"/>
              </w:rPr>
              <w:t>:00整，地点在会议室，相关参建单位的主要管理人员、技术人员都要参加。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5、</w:t>
            </w:r>
            <w:r>
              <w:rPr>
                <w:rFonts w:hint="eastAsia"/>
                <w:sz w:val="18"/>
                <w:szCs w:val="18"/>
              </w:rPr>
              <w:t>希望施工单位根据并网节点合理安排施工计划，要求施工单位土建及电气同步施工，并排好各分部分项进度计划表，上报监理项目部审批；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6、本工程名称确定为《</w:t>
            </w:r>
            <w:r>
              <w:rPr>
                <w:rFonts w:hint="eastAsia"/>
                <w:kern w:val="21"/>
                <w:sz w:val="18"/>
                <w:szCs w:val="18"/>
              </w:rPr>
              <w:t>苏州乐轩2.0184MWp分布式光伏电站项目</w:t>
            </w:r>
            <w:r>
              <w:rPr>
                <w:rFonts w:hint="eastAsia"/>
                <w:kern w:val="21"/>
                <w:sz w:val="18"/>
                <w:szCs w:val="18"/>
                <w:lang w:eastAsia="zh-CN"/>
              </w:rPr>
              <w:t>》。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建设单位：夏明全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1、</w:t>
            </w:r>
            <w:r>
              <w:rPr>
                <w:rFonts w:hint="eastAsia"/>
                <w:sz w:val="18"/>
                <w:szCs w:val="18"/>
              </w:rPr>
              <w:t>备案证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和电力批复</w:t>
            </w:r>
            <w:r>
              <w:rPr>
                <w:rFonts w:hint="eastAsia"/>
                <w:sz w:val="18"/>
                <w:szCs w:val="18"/>
              </w:rPr>
              <w:t>未获取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何时能够取得？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2、施工现场工程目标是，在确保安全和工程质量的前提下，争取早日完工并网发电。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总包单位：彭陈平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1、</w:t>
            </w:r>
            <w:r>
              <w:rPr>
                <w:rFonts w:hint="eastAsia"/>
                <w:sz w:val="18"/>
                <w:szCs w:val="18"/>
              </w:rPr>
              <w:t>备案证未获取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总包提出是由于</w:t>
            </w:r>
            <w:r>
              <w:rPr>
                <w:rFonts w:hint="eastAsia"/>
                <w:sz w:val="18"/>
                <w:szCs w:val="18"/>
              </w:rPr>
              <w:t>苏州乐轩2.0184MWp屋顶分布式光伏电站项目EPC总承包合同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签署的时间与苏州乐栅光伏能源有限公司成立时间有冲突，导致现在未办理，在之后的工作中会跟进。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2、组件已全部到场，并已吊装至施工现场屋面。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3、施工现场定位放线已完成10%。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下周计划：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1、下周混凝土柱墩预计一天浇筑200左右，</w:t>
            </w:r>
            <w:r>
              <w:rPr>
                <w:rFonts w:hint="eastAsia"/>
                <w:sz w:val="18"/>
                <w:szCs w:val="18"/>
              </w:rPr>
              <w:t>因为早晨支模下午浇筑，然后隔一夜，明天早晨拆模以及立模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下午浇筑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如此的循环，</w:t>
            </w: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这样</w:t>
            </w:r>
            <w:r>
              <w:rPr>
                <w:rFonts w:hint="eastAsia"/>
                <w:sz w:val="18"/>
                <w:szCs w:val="18"/>
              </w:rPr>
              <w:t>正常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/>
                <w:sz w:val="18"/>
                <w:szCs w:val="18"/>
              </w:rPr>
              <w:t>施工程序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2、施工测量放线完成100%。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3、下周例会其他样品的确认。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样品确认：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1、材料样品现场检查内容为：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①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前立柱连接件、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②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、横梁檩条连接板、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③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斜撑、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④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后立柱连接件、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⑤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、铝合金电缆桥架、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、动力电缆及光伏电缆。</w:t>
            </w:r>
          </w:p>
          <w:p>
            <w:pPr>
              <w:topLinePunct/>
              <w:snapToGrid w:val="0"/>
              <w:spacing w:before="60" w:after="60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2、支架及铝合金电缆桥架样品外观检查无缺陷，尺寸符合设计图纸及合同要求。现场无镀锌测厚仪，要求之后支架材料进场时需提供。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3、图纸为明确规定组件压块尺寸及规格需明确。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4、后立柱连接件检查，发现图纸无明确要求后立柱形式，只是图示能看出后立柱未立柱焊接钢板形式的，要求设计单位予以确认后立柱形式。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23" w:hRule="atLeast"/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苏州乐栅光伏能源有限公司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乐轩项目部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23" w:hRule="atLeast"/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抄送单位</w:t>
            </w:r>
          </w:p>
        </w:tc>
        <w:tc>
          <w:tcPr>
            <w:tcW w:w="6909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上海久能能源科技发展有限公司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乐轩项目部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93" w:hRule="atLeast"/>
          <w:jc w:val="center"/>
        </w:trPr>
        <w:tc>
          <w:tcPr>
            <w:tcW w:w="145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发文单位</w:t>
            </w:r>
          </w:p>
        </w:tc>
        <w:tc>
          <w:tcPr>
            <w:tcW w:w="360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常州正衡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电力工程</w:t>
            </w:r>
            <w:r>
              <w:rPr>
                <w:rFonts w:hint="eastAsia"/>
                <w:sz w:val="18"/>
                <w:szCs w:val="18"/>
              </w:rPr>
              <w:t>监理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有限公司乐轩</w:t>
            </w:r>
            <w:r>
              <w:rPr>
                <w:rFonts w:hint="eastAsia"/>
                <w:sz w:val="18"/>
                <w:szCs w:val="18"/>
              </w:rPr>
              <w:t>监理部</w:t>
            </w:r>
          </w:p>
        </w:tc>
        <w:tc>
          <w:tcPr>
            <w:tcW w:w="14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发文时间</w:t>
            </w:r>
          </w:p>
        </w:tc>
        <w:tc>
          <w:tcPr>
            <w:tcW w:w="187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2017年3月30日</w:t>
            </w:r>
          </w:p>
        </w:tc>
      </w:tr>
    </w:tbl>
    <w:p>
      <w:pPr>
        <w:topLinePunct/>
        <w:ind w:left="1168" w:hanging="811"/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会议纪要由监理项目部起草，经总监理工程师签发后下发。</w:t>
      </w:r>
    </w:p>
    <w:p>
      <w:pPr>
        <w:pStyle w:val="7"/>
      </w:pPr>
    </w:p>
    <w:p>
      <w:pPr>
        <w:pStyle w:val="7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u w:val="single"/>
          <w:lang w:val="en-US" w:eastAsia="zh-CN"/>
        </w:rPr>
        <w:t xml:space="preserve">    苏州乐轩2.0184MWp分布式光伏电站</w:t>
      </w:r>
      <w:r>
        <w:rPr>
          <w:rFonts w:ascii="宋体" w:hAnsi="宋体" w:eastAsia="宋体"/>
          <w:sz w:val="24"/>
          <w:u w:val="single"/>
        </w:rPr>
        <w:t>项目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</w:rPr>
        <w:t>会议签到表</w:t>
      </w:r>
    </w:p>
    <w:p>
      <w:pPr>
        <w:pStyle w:val="7"/>
      </w:pPr>
      <w:r>
        <w:rPr>
          <w:rFonts w:hint="eastAsia"/>
        </w:rPr>
        <w:t xml:space="preserve">                        </w:t>
      </w:r>
      <w:r>
        <w:t xml:space="preserve">                     </w:t>
      </w:r>
      <w:r>
        <w:rPr>
          <w:rFonts w:hint="eastAsia"/>
        </w:rPr>
        <w:t xml:space="preserve">  日 期</w:t>
      </w:r>
      <w:r>
        <w:t>：</w:t>
      </w:r>
      <w:r>
        <w:rPr>
          <w:rFonts w:hint="eastAsia"/>
        </w:rPr>
        <w:t xml:space="preserve"> </w:t>
      </w:r>
    </w:p>
    <w:tbl>
      <w:tblPr>
        <w:tblStyle w:val="5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90"/>
        <w:gridCol w:w="2091"/>
        <w:gridCol w:w="2091"/>
        <w:gridCol w:w="20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  名</w:t>
            </w: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职务/职称</w:t>
            </w: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    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0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  <w:tc>
          <w:tcPr>
            <w:tcW w:w="209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114" w:after="114"/>
              <w:jc w:val="center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157" w:right="1800" w:bottom="115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auto"/>
    <w:pitch w:val="default"/>
    <w:sig w:usb0="00000000" w:usb1="00000000" w:usb2="00000033" w:usb3="00000000" w:csb0="0008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New York">
    <w:altName w:val="AmdtSymbols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彩虹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ED"/>
    <w:rsid w:val="00063BE1"/>
    <w:rsid w:val="003308E9"/>
    <w:rsid w:val="004F3136"/>
    <w:rsid w:val="005C3F4E"/>
    <w:rsid w:val="00C54C17"/>
    <w:rsid w:val="00D210F4"/>
    <w:rsid w:val="00D22C82"/>
    <w:rsid w:val="00DD2FED"/>
    <w:rsid w:val="00ED6BEC"/>
    <w:rsid w:val="00FE2311"/>
    <w:rsid w:val="09D4269A"/>
    <w:rsid w:val="144C5CD1"/>
    <w:rsid w:val="1A817C48"/>
    <w:rsid w:val="20FC0E01"/>
    <w:rsid w:val="79B63FE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8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9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  <w:snapToGrid w:val="0"/>
      <w:spacing w:line="300" w:lineRule="auto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12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8B24A3-987C-4CA4-A593-05CB9223C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222</Characters>
  <Lines>222</Lines>
  <Paragraphs>60</Paragraphs>
  <ScaleCrop>false</ScaleCrop>
  <LinksUpToDate>false</LinksUpToDate>
  <CharactersWithSpaces>361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2016-12-02T08:04:00Z</dcterms:created>
  <dc:creator>20160730</dc:creator>
  <cp:lastModifiedBy>zh5</cp:lastModifiedBy>
  <dcterms:modified xsi:type="dcterms:W3CDTF">2017-03-31T12:10:00Z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