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2"/>
        </w:rPr>
      </w:pPr>
      <w:r>
        <w:rPr>
          <w:rFonts w:hint="eastAsia" w:ascii="黑体" w:hAnsi="黑体" w:eastAsia="黑体" w:cs="黑体"/>
          <w:b/>
          <w:sz w:val="30"/>
          <w:szCs w:val="30"/>
        </w:rPr>
        <w:t>会  议  纪  要</w:t>
      </w:r>
    </w:p>
    <w:p>
      <w:pPr>
        <w:jc w:val="both"/>
        <w:rPr>
          <w:rFonts w:hint="default" w:ascii="宋体" w:hAnsi="宋体" w:eastAsia="宋体"/>
          <w:sz w:val="24"/>
          <w:szCs w:val="24"/>
          <w:lang w:val="en-US" w:eastAsia="zh-CN"/>
        </w:rPr>
      </w:pPr>
      <w:r>
        <w:rPr>
          <w:rFonts w:ascii="宋体" w:hAnsi="宋体"/>
          <w:b/>
          <w:bCs/>
          <w:sz w:val="24"/>
          <w:szCs w:val="24"/>
        </w:rPr>
        <w:t>工程名称：</w:t>
      </w:r>
      <w:r>
        <w:rPr>
          <w:rFonts w:hint="eastAsia" w:ascii="宋体" w:hAnsi="宋体"/>
          <w:sz w:val="24"/>
          <w:szCs w:val="24"/>
          <w:lang w:eastAsia="zh-CN"/>
        </w:rPr>
        <w:t>钦州康熙岭渔光一体光伏电站（四期）</w:t>
      </w:r>
      <w:r>
        <w:rPr>
          <w:rFonts w:hint="eastAsia" w:ascii="宋体" w:hAnsi="宋体"/>
          <w:sz w:val="24"/>
          <w:szCs w:val="24"/>
          <w:lang w:val="en-US" w:eastAsia="zh-CN"/>
        </w:rPr>
        <w:t xml:space="preserve">     </w:t>
      </w:r>
      <w:r>
        <w:rPr>
          <w:rFonts w:hint="eastAsia" w:ascii="宋体" w:hAnsi="宋体"/>
          <w:kern w:val="21"/>
          <w:sz w:val="24"/>
          <w:szCs w:val="24"/>
          <w:lang w:val="en-US" w:eastAsia="zh-CN"/>
        </w:rPr>
        <w:t xml:space="preserve">       </w:t>
      </w:r>
      <w:r>
        <w:rPr>
          <w:rFonts w:ascii="宋体" w:hAnsi="宋体"/>
          <w:b/>
          <w:bCs/>
          <w:sz w:val="24"/>
          <w:szCs w:val="24"/>
        </w:rPr>
        <w:t>编号</w:t>
      </w:r>
      <w:r>
        <w:rPr>
          <w:rFonts w:hint="eastAsia" w:ascii="宋体" w:hAnsi="宋体"/>
          <w:b/>
          <w:bCs/>
          <w:sz w:val="24"/>
          <w:szCs w:val="24"/>
          <w:lang w:val="en-US" w:eastAsia="zh-CN"/>
        </w:rPr>
        <w:t>:</w:t>
      </w:r>
      <w:r>
        <w:rPr>
          <w:rFonts w:hint="eastAsia"/>
          <w:sz w:val="24"/>
          <w:szCs w:val="24"/>
        </w:rPr>
        <w:t xml:space="preserve">JXM8 </w:t>
      </w:r>
      <w:r>
        <w:rPr>
          <w:rFonts w:hint="eastAsia"/>
          <w:sz w:val="24"/>
          <w:szCs w:val="24"/>
          <w:lang w:val="en-US" w:eastAsia="zh-CN"/>
        </w:rPr>
        <w:t>-JLLH</w:t>
      </w:r>
      <w:r>
        <w:rPr>
          <w:rFonts w:ascii="宋体" w:hAnsi="宋体"/>
          <w:sz w:val="24"/>
          <w:szCs w:val="24"/>
        </w:rPr>
        <w:t>-0</w:t>
      </w:r>
      <w:r>
        <w:rPr>
          <w:rFonts w:hint="eastAsia" w:ascii="宋体" w:hAnsi="宋体"/>
          <w:sz w:val="24"/>
          <w:szCs w:val="24"/>
          <w:lang w:val="en-US" w:eastAsia="zh-CN"/>
        </w:rPr>
        <w:t>02</w:t>
      </w:r>
    </w:p>
    <w:tbl>
      <w:tblPr>
        <w:tblStyle w:val="8"/>
        <w:tblW w:w="9630" w:type="dxa"/>
        <w:tblInd w:w="75"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85" w:type="dxa"/>
          <w:bottom w:w="57" w:type="dxa"/>
          <w:right w:w="85" w:type="dxa"/>
        </w:tblCellMar>
      </w:tblPr>
      <w:tblGrid>
        <w:gridCol w:w="1516"/>
        <w:gridCol w:w="651"/>
        <w:gridCol w:w="2526"/>
        <w:gridCol w:w="817"/>
        <w:gridCol w:w="1044"/>
        <w:gridCol w:w="526"/>
        <w:gridCol w:w="25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c>
          <w:tcPr>
            <w:tcW w:w="2167" w:type="dxa"/>
            <w:gridSpan w:val="2"/>
            <w:tcMar>
              <w:top w:w="57" w:type="dxa"/>
              <w:left w:w="85" w:type="dxa"/>
              <w:bottom w:w="57" w:type="dxa"/>
              <w:right w:w="85" w:type="dxa"/>
            </w:tcMar>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jc w:val="left"/>
              <w:textAlignment w:val="auto"/>
              <w:rPr>
                <w:rFonts w:hint="eastAsia" w:ascii="宋体" w:hAnsi="宋体"/>
                <w:sz w:val="21"/>
                <w:szCs w:val="21"/>
                <w:lang w:val="en-US" w:eastAsia="zh-CN"/>
              </w:rPr>
            </w:pPr>
            <w:r>
              <w:rPr>
                <w:rFonts w:hint="eastAsia" w:ascii="宋体" w:hAnsi="宋体"/>
                <w:sz w:val="21"/>
                <w:szCs w:val="21"/>
                <w:lang w:val="en-US" w:eastAsia="zh-CN"/>
              </w:rPr>
              <w:t>会议地点</w:t>
            </w:r>
          </w:p>
        </w:tc>
        <w:tc>
          <w:tcPr>
            <w:tcW w:w="2526" w:type="dxa"/>
            <w:tcMar>
              <w:top w:w="57" w:type="dxa"/>
              <w:left w:w="85" w:type="dxa"/>
              <w:bottom w:w="57" w:type="dxa"/>
              <w:right w:w="85" w:type="dxa"/>
            </w:tcMar>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jc w:val="left"/>
              <w:textAlignment w:val="auto"/>
              <w:rPr>
                <w:rFonts w:hint="eastAsia" w:ascii="宋体" w:hAnsi="宋体"/>
                <w:sz w:val="21"/>
                <w:szCs w:val="21"/>
                <w:lang w:val="en-US" w:eastAsia="zh-CN"/>
              </w:rPr>
            </w:pPr>
            <w:r>
              <w:rPr>
                <w:rFonts w:hint="eastAsia" w:ascii="宋体" w:hAnsi="宋体"/>
                <w:sz w:val="21"/>
                <w:szCs w:val="21"/>
                <w:lang w:val="en-US" w:eastAsia="zh-CN"/>
              </w:rPr>
              <w:t>升压站会议室</w:t>
            </w:r>
          </w:p>
        </w:tc>
        <w:tc>
          <w:tcPr>
            <w:tcW w:w="1861" w:type="dxa"/>
            <w:gridSpan w:val="2"/>
            <w:tcMar>
              <w:top w:w="57" w:type="dxa"/>
              <w:left w:w="85" w:type="dxa"/>
              <w:bottom w:w="57" w:type="dxa"/>
              <w:right w:w="85" w:type="dxa"/>
            </w:tcMar>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jc w:val="left"/>
              <w:textAlignment w:val="auto"/>
              <w:rPr>
                <w:rFonts w:hint="eastAsia" w:ascii="宋体" w:hAnsi="宋体"/>
                <w:sz w:val="21"/>
                <w:szCs w:val="21"/>
                <w:lang w:val="en-US" w:eastAsia="zh-CN"/>
              </w:rPr>
            </w:pPr>
            <w:r>
              <w:rPr>
                <w:rFonts w:hint="eastAsia" w:ascii="宋体" w:hAnsi="宋体"/>
                <w:sz w:val="21"/>
                <w:szCs w:val="21"/>
                <w:lang w:val="en-US" w:eastAsia="zh-CN"/>
              </w:rPr>
              <w:t>会议时间</w:t>
            </w:r>
          </w:p>
        </w:tc>
        <w:tc>
          <w:tcPr>
            <w:tcW w:w="3076" w:type="dxa"/>
            <w:gridSpan w:val="2"/>
            <w:tcMar>
              <w:top w:w="57" w:type="dxa"/>
              <w:left w:w="85" w:type="dxa"/>
              <w:bottom w:w="57" w:type="dxa"/>
              <w:right w:w="85" w:type="dxa"/>
            </w:tcMar>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jc w:val="left"/>
              <w:textAlignment w:val="auto"/>
              <w:rPr>
                <w:rFonts w:hint="eastAsia" w:ascii="宋体" w:hAnsi="宋体"/>
                <w:sz w:val="21"/>
                <w:szCs w:val="21"/>
                <w:lang w:val="en-US" w:eastAsia="zh-CN"/>
              </w:rPr>
            </w:pPr>
            <w:r>
              <w:rPr>
                <w:rFonts w:hint="eastAsia" w:ascii="宋体" w:hAnsi="宋体"/>
                <w:sz w:val="21"/>
                <w:szCs w:val="21"/>
                <w:lang w:val="en-US" w:eastAsia="zh-CN"/>
              </w:rPr>
              <w:t>2021年06月03日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c>
          <w:tcPr>
            <w:tcW w:w="216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jc w:val="left"/>
              <w:textAlignment w:val="auto"/>
              <w:rPr>
                <w:rFonts w:hint="eastAsia" w:ascii="宋体" w:hAnsi="宋体"/>
                <w:sz w:val="21"/>
                <w:szCs w:val="21"/>
                <w:lang w:val="en-US" w:eastAsia="zh-CN"/>
              </w:rPr>
            </w:pPr>
            <w:r>
              <w:rPr>
                <w:rFonts w:hint="eastAsia" w:ascii="宋体" w:hAnsi="宋体"/>
                <w:sz w:val="21"/>
                <w:szCs w:val="21"/>
                <w:lang w:val="en-US" w:eastAsia="zh-CN"/>
              </w:rPr>
              <w:t>会议主持人</w:t>
            </w:r>
          </w:p>
        </w:tc>
        <w:tc>
          <w:tcPr>
            <w:tcW w:w="746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jc w:val="left"/>
              <w:textAlignment w:val="auto"/>
              <w:rPr>
                <w:rFonts w:hint="eastAsia" w:ascii="宋体" w:hAnsi="宋体"/>
                <w:sz w:val="21"/>
                <w:szCs w:val="21"/>
                <w:lang w:val="en-US" w:eastAsia="zh-CN"/>
              </w:rPr>
            </w:pPr>
            <w:r>
              <w:rPr>
                <w:rFonts w:hint="eastAsia" w:ascii="宋体" w:hAnsi="宋体"/>
                <w:sz w:val="21"/>
                <w:szCs w:val="21"/>
                <w:lang w:val="en-US" w:eastAsia="zh-CN"/>
              </w:rPr>
              <w:t>徐存辉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722" w:hRule="atLeast"/>
        </w:trPr>
        <w:tc>
          <w:tcPr>
            <w:tcW w:w="9630"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jc w:val="left"/>
              <w:textAlignment w:val="auto"/>
              <w:rPr>
                <w:rFonts w:hint="eastAsia" w:ascii="宋体" w:hAnsi="宋体"/>
                <w:sz w:val="21"/>
                <w:szCs w:val="21"/>
                <w:lang w:val="en-US" w:eastAsia="zh-CN"/>
              </w:rPr>
            </w:pPr>
            <w:r>
              <w:rPr>
                <w:rFonts w:hint="eastAsia" w:ascii="宋体" w:hAnsi="宋体"/>
                <w:sz w:val="21"/>
                <w:szCs w:val="21"/>
                <w:lang w:val="en-US" w:eastAsia="zh-CN"/>
              </w:rPr>
              <w:t>会议主题：钦州康熙岭渔光一体光伏电站（四期） 监理例会第二期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722" w:hRule="atLeast"/>
        </w:trPr>
        <w:tc>
          <w:tcPr>
            <w:tcW w:w="9630"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jc w:val="left"/>
              <w:textAlignment w:val="auto"/>
              <w:rPr>
                <w:rFonts w:hint="default" w:ascii="宋体" w:hAnsi="宋体"/>
                <w:sz w:val="21"/>
                <w:szCs w:val="21"/>
                <w:lang w:val="en-US" w:eastAsia="zh-CN"/>
              </w:rPr>
            </w:pPr>
            <w:r>
              <w:rPr>
                <w:rFonts w:hint="eastAsia" w:ascii="宋体" w:hAnsi="宋体"/>
                <w:sz w:val="21"/>
                <w:szCs w:val="21"/>
                <w:lang w:val="en-US" w:eastAsia="zh-CN"/>
              </w:rPr>
              <w:t>参会人员：陈坚、赵兵、张杰、徐存辉、韩翔雨、戚平、陈大爽、许良杰、曹均帅、张兵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2045" w:hRule="atLeast"/>
        </w:trPr>
        <w:tc>
          <w:tcPr>
            <w:tcW w:w="9630" w:type="dxa"/>
            <w:gridSpan w:val="7"/>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lang w:val="en-US" w:eastAsia="zh-CN"/>
              </w:rPr>
            </w:pPr>
            <w:r>
              <w:rPr>
                <w:rFonts w:hint="eastAsia"/>
                <w:lang w:val="en-US" w:eastAsia="zh-CN"/>
              </w:rPr>
              <w:t>会议主要内容：</w:t>
            </w:r>
          </w:p>
          <w:p>
            <w:pPr>
              <w:keepNext w:val="0"/>
              <w:keepLines w:val="0"/>
              <w:pageBreakBefore w:val="0"/>
              <w:widowControl w:val="0"/>
              <w:numPr>
                <w:ilvl w:val="0"/>
                <w:numId w:val="0"/>
              </w:numPr>
              <w:kinsoku/>
              <w:wordWrap/>
              <w:overflowPunct/>
              <w:topLinePunct w:val="0"/>
              <w:autoSpaceDE/>
              <w:autoSpaceDN/>
              <w:bidi w:val="0"/>
              <w:adjustRightInd/>
              <w:spacing w:line="360" w:lineRule="auto"/>
              <w:jc w:val="left"/>
              <w:textAlignment w:val="auto"/>
              <w:rPr>
                <w:rFonts w:hint="eastAsia"/>
                <w:lang w:val="en-US" w:eastAsia="zh-CN"/>
              </w:rPr>
            </w:pPr>
            <w:r>
              <w:rPr>
                <w:rFonts w:hint="eastAsia"/>
                <w:lang w:val="en-US" w:eastAsia="zh-CN"/>
              </w:rPr>
              <w:t>2021年06月03日，在升压站会议室召开本项目第二次监理例会，会议具体内容如下：</w:t>
            </w:r>
          </w:p>
          <w:p>
            <w:pPr>
              <w:pStyle w:val="2"/>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会议制度：1、各单位与会人员手机必须保持静音状态；2、会议现场禁止抽烟；3、会议流程：各施工单位汇报本周工作完成情况及下周工作安排和需要协调事宜</w:t>
            </w:r>
            <w:r>
              <w:rPr>
                <w:rFonts w:hint="default" w:ascii="Times New Roman" w:hAnsi="Times New Roman" w:eastAsia="宋体" w:cs="Times New Roman"/>
                <w:color w:val="auto"/>
                <w:kern w:val="0"/>
                <w:sz w:val="21"/>
                <w:szCs w:val="21"/>
                <w:lang w:val="en-US" w:eastAsia="zh-CN" w:bidi="ar-SA"/>
              </w:rPr>
              <w:t>→</w:t>
            </w:r>
            <w:r>
              <w:rPr>
                <w:rFonts w:hint="eastAsia" w:ascii="Times New Roman" w:hAnsi="Times New Roman" w:eastAsia="宋体" w:cs="Times New Roman"/>
                <w:color w:val="auto"/>
                <w:kern w:val="0"/>
                <w:sz w:val="21"/>
                <w:szCs w:val="21"/>
                <w:lang w:val="en-US" w:eastAsia="zh-CN" w:bidi="ar-SA"/>
              </w:rPr>
              <w:t>监理单位各专监针对现场施工情况提出意见及整改要求</w:t>
            </w:r>
            <w:r>
              <w:rPr>
                <w:rFonts w:hint="default" w:ascii="Times New Roman" w:hAnsi="Times New Roman" w:eastAsia="宋体" w:cs="Times New Roman"/>
                <w:color w:val="auto"/>
                <w:kern w:val="0"/>
                <w:sz w:val="21"/>
                <w:szCs w:val="21"/>
                <w:lang w:val="en-US" w:eastAsia="zh-CN" w:bidi="ar-SA"/>
              </w:rPr>
              <w:t>→</w:t>
            </w:r>
            <w:r>
              <w:rPr>
                <w:rFonts w:hint="eastAsia" w:ascii="Times New Roman" w:hAnsi="Times New Roman" w:eastAsia="宋体" w:cs="Times New Roman"/>
                <w:color w:val="auto"/>
                <w:kern w:val="0"/>
                <w:sz w:val="21"/>
                <w:szCs w:val="21"/>
                <w:lang w:val="en-US" w:eastAsia="zh-CN" w:bidi="ar-SA"/>
              </w:rPr>
              <w:t>监理单位负责人进行问题汇总并提出要求</w:t>
            </w:r>
            <w:r>
              <w:rPr>
                <w:rFonts w:hint="default" w:ascii="Times New Roman" w:hAnsi="Times New Roman" w:eastAsia="宋体" w:cs="Times New Roman"/>
                <w:color w:val="auto"/>
                <w:kern w:val="0"/>
                <w:sz w:val="21"/>
                <w:szCs w:val="21"/>
                <w:lang w:val="en-US" w:eastAsia="zh-CN" w:bidi="ar-SA"/>
              </w:rPr>
              <w:t>→</w:t>
            </w:r>
            <w:r>
              <w:rPr>
                <w:rFonts w:hint="eastAsia" w:ascii="Times New Roman" w:hAnsi="Times New Roman" w:eastAsia="宋体" w:cs="Times New Roman"/>
                <w:color w:val="auto"/>
                <w:kern w:val="0"/>
                <w:sz w:val="21"/>
                <w:szCs w:val="21"/>
                <w:lang w:val="en-US" w:eastAsia="zh-CN" w:bidi="ar-SA"/>
              </w:rPr>
              <w:t>建设单位各专工提出要求</w:t>
            </w:r>
            <w:r>
              <w:rPr>
                <w:rFonts w:hint="default" w:ascii="Times New Roman" w:hAnsi="Times New Roman" w:eastAsia="宋体" w:cs="Times New Roman"/>
                <w:color w:val="auto"/>
                <w:kern w:val="0"/>
                <w:sz w:val="21"/>
                <w:szCs w:val="21"/>
                <w:lang w:val="en-US" w:eastAsia="zh-CN" w:bidi="ar-SA"/>
              </w:rPr>
              <w:t>→</w:t>
            </w:r>
            <w:r>
              <w:rPr>
                <w:rFonts w:hint="eastAsia" w:ascii="Times New Roman" w:hAnsi="Times New Roman" w:eastAsia="宋体" w:cs="Times New Roman"/>
                <w:color w:val="auto"/>
                <w:kern w:val="0"/>
                <w:sz w:val="21"/>
                <w:szCs w:val="21"/>
                <w:lang w:val="en-US" w:eastAsia="zh-CN" w:bidi="ar-SA"/>
              </w:rPr>
              <w:t>建设单位项目负责人进行汇总并对各单位提出要求。</w:t>
            </w:r>
          </w:p>
          <w:p>
            <w:pPr>
              <w:keepNext w:val="0"/>
              <w:keepLines w:val="0"/>
              <w:pageBreakBefore w:val="0"/>
              <w:widowControl w:val="0"/>
              <w:numPr>
                <w:ilvl w:val="0"/>
                <w:numId w:val="0"/>
              </w:numPr>
              <w:kinsoku/>
              <w:wordWrap/>
              <w:overflowPunct/>
              <w:topLinePunct w:val="0"/>
              <w:autoSpaceDE/>
              <w:autoSpaceDN/>
              <w:bidi w:val="0"/>
              <w:adjustRightInd/>
              <w:spacing w:line="360" w:lineRule="auto"/>
              <w:jc w:val="left"/>
              <w:textAlignment w:val="auto"/>
              <w:rPr>
                <w:rFonts w:hint="eastAsia"/>
                <w:lang w:eastAsia="zh-CN"/>
              </w:rPr>
            </w:pPr>
            <w:r>
              <w:rPr>
                <w:rFonts w:hint="eastAsia"/>
                <w:lang w:eastAsia="zh-CN"/>
              </w:rPr>
              <w:t>一、施工单位项目施工情况及需要协调问题：</w:t>
            </w:r>
          </w:p>
          <w:p>
            <w:pPr>
              <w:keepNext w:val="0"/>
              <w:keepLines w:val="0"/>
              <w:pageBreakBefore w:val="0"/>
              <w:widowControl w:val="0"/>
              <w:numPr>
                <w:ilvl w:val="0"/>
                <w:numId w:val="0"/>
              </w:numPr>
              <w:kinsoku/>
              <w:wordWrap/>
              <w:overflowPunct/>
              <w:topLinePunct w:val="0"/>
              <w:autoSpaceDE/>
              <w:autoSpaceDN/>
              <w:bidi w:val="0"/>
              <w:adjustRightInd/>
              <w:spacing w:line="360" w:lineRule="auto"/>
              <w:jc w:val="left"/>
              <w:textAlignment w:val="auto"/>
              <w:rPr>
                <w:rFonts w:hint="default"/>
                <w:lang w:val="en-US" w:eastAsia="zh-CN"/>
              </w:rPr>
            </w:pPr>
            <w:r>
              <w:rPr>
                <w:rFonts w:hint="eastAsia"/>
                <w:lang w:val="en-US" w:eastAsia="zh-CN"/>
              </w:rPr>
              <w:t xml:space="preserve">    1、安徽中建富华能源建设有限公司：   </w:t>
            </w:r>
          </w:p>
          <w:p>
            <w:pPr>
              <w:pStyle w:val="7"/>
              <w:ind w:left="0" w:firstLine="0"/>
              <w:rPr>
                <w:rFonts w:hint="eastAsia"/>
                <w:lang w:eastAsia="zh-CN"/>
              </w:rPr>
            </w:pPr>
            <w:r>
              <w:rPr>
                <w:rFonts w:hint="eastAsia"/>
                <w:lang w:val="en-US" w:eastAsia="zh-CN"/>
              </w:rPr>
              <w:t xml:space="preserve">     A、本周主要工作汇报：a、</w:t>
            </w:r>
            <w:r>
              <w:t>管桩卸货： P</w:t>
            </w:r>
            <w:r>
              <w:rPr>
                <w:rFonts w:hint="default"/>
              </w:rPr>
              <w:t>HC-300-AB-70-8</w:t>
            </w:r>
            <w:r>
              <w:t>管桩进场</w:t>
            </w:r>
            <w:r>
              <w:rPr>
                <w:rFonts w:hint="default"/>
              </w:rPr>
              <w:t>282</w:t>
            </w:r>
            <w:r>
              <w:t>根，累计到桩</w:t>
            </w:r>
            <w:r>
              <w:rPr>
                <w:rFonts w:hint="default"/>
              </w:rPr>
              <w:t>282</w:t>
            </w:r>
            <w:r>
              <w:t>根,累计到货占比</w:t>
            </w:r>
            <w:r>
              <w:rPr>
                <w:rFonts w:hint="default"/>
              </w:rPr>
              <w:t>4.5</w:t>
            </w:r>
            <w:r>
              <w:t>%</w:t>
            </w:r>
            <w:r>
              <w:rPr>
                <w:rFonts w:hint="eastAsia"/>
                <w:lang w:val="en-US" w:eastAsia="zh-CN"/>
              </w:rPr>
              <w:t>;b、</w:t>
            </w:r>
            <w:r>
              <w:t>完成厂区排水沟开挖及排水作业施工</w:t>
            </w:r>
            <w:r>
              <w:rPr>
                <w:rFonts w:hint="eastAsia"/>
                <w:lang w:eastAsia="zh-CN"/>
              </w:rPr>
              <w:t>；</w:t>
            </w:r>
            <w:r>
              <w:rPr>
                <w:rFonts w:hint="eastAsia"/>
                <w:lang w:val="en-US" w:eastAsia="zh-CN"/>
              </w:rPr>
              <w:t>c、</w:t>
            </w:r>
            <w:r>
              <w:t>集装箱购买拉至施工现场，临时办公室接线桌椅水购买，进桩主道路维修完成80%，鱼塘封堵完成30%，施工前期资料报审检查已报监理审查</w:t>
            </w:r>
            <w:r>
              <w:rPr>
                <w:rFonts w:hint="eastAsia"/>
                <w:lang w:eastAsia="zh-CN"/>
              </w:rPr>
              <w:t>；</w:t>
            </w:r>
          </w:p>
          <w:p>
            <w:pPr>
              <w:pStyle w:val="7"/>
              <w:ind w:left="0" w:firstLine="0"/>
              <w:rPr>
                <w:rFonts w:hint="eastAsia"/>
                <w:lang w:val="en-US" w:eastAsia="zh-CN"/>
              </w:rPr>
            </w:pPr>
            <w:r>
              <w:rPr>
                <w:rFonts w:hint="eastAsia"/>
                <w:lang w:val="en-US" w:eastAsia="zh-CN"/>
              </w:rPr>
              <w:t xml:space="preserve">     B、下周主要工作安排：a、G</w:t>
            </w:r>
            <w:r>
              <w:rPr>
                <w:rFonts w:hint="default"/>
                <w:lang w:val="en-US" w:eastAsia="zh-CN"/>
              </w:rPr>
              <w:t>PS</w:t>
            </w:r>
            <w:r>
              <w:rPr>
                <w:rFonts w:hint="eastAsia"/>
                <w:lang w:val="en-US" w:eastAsia="zh-CN"/>
              </w:rPr>
              <w:t>桩基放点</w:t>
            </w:r>
            <w:r>
              <w:rPr>
                <w:rFonts w:hint="default"/>
                <w:lang w:val="en-US" w:eastAsia="zh-CN"/>
              </w:rPr>
              <w:t>500</w:t>
            </w:r>
            <w:r>
              <w:rPr>
                <w:rFonts w:hint="eastAsia"/>
                <w:lang w:val="en-US" w:eastAsia="zh-CN"/>
              </w:rPr>
              <w:t>个，占比</w:t>
            </w:r>
            <w:r>
              <w:rPr>
                <w:rFonts w:hint="default"/>
                <w:lang w:val="en-US" w:eastAsia="zh-CN"/>
              </w:rPr>
              <w:t>7</w:t>
            </w:r>
            <w:r>
              <w:rPr>
                <w:rFonts w:hint="eastAsia"/>
                <w:lang w:val="en-US" w:eastAsia="zh-CN"/>
              </w:rPr>
              <w:t>%，累计占比</w:t>
            </w:r>
            <w:r>
              <w:rPr>
                <w:rFonts w:hint="default"/>
                <w:lang w:val="en-US" w:eastAsia="zh-CN"/>
              </w:rPr>
              <w:t>7</w:t>
            </w:r>
            <w:r>
              <w:rPr>
                <w:rFonts w:hint="eastAsia"/>
                <w:lang w:val="en-US" w:eastAsia="zh-CN"/>
              </w:rPr>
              <w:t>%；b、管桩打桩</w:t>
            </w:r>
            <w:r>
              <w:rPr>
                <w:rFonts w:hint="default"/>
                <w:lang w:val="en-US" w:eastAsia="zh-CN"/>
              </w:rPr>
              <w:t>200</w:t>
            </w:r>
            <w:r>
              <w:rPr>
                <w:rFonts w:hint="eastAsia"/>
                <w:lang w:val="en-US" w:eastAsia="zh-CN"/>
              </w:rPr>
              <w:t>根桩基，占比</w:t>
            </w:r>
            <w:r>
              <w:rPr>
                <w:rFonts w:hint="default"/>
                <w:lang w:val="en-US" w:eastAsia="zh-CN"/>
              </w:rPr>
              <w:t>3.1</w:t>
            </w:r>
            <w:r>
              <w:rPr>
                <w:rFonts w:hint="eastAsia"/>
                <w:lang w:val="en-US" w:eastAsia="zh-CN"/>
              </w:rPr>
              <w:t>%，累计占比</w:t>
            </w:r>
            <w:r>
              <w:rPr>
                <w:rFonts w:hint="default"/>
                <w:lang w:val="en-US" w:eastAsia="zh-CN"/>
              </w:rPr>
              <w:t>3.1</w:t>
            </w:r>
            <w:r>
              <w:rPr>
                <w:rFonts w:hint="eastAsia"/>
                <w:lang w:val="en-US" w:eastAsia="zh-CN"/>
              </w:rPr>
              <w:t>%；c、管桩到货： P</w:t>
            </w:r>
            <w:r>
              <w:rPr>
                <w:rFonts w:hint="default"/>
                <w:lang w:val="en-US" w:eastAsia="zh-CN"/>
              </w:rPr>
              <w:t>HC-300-AB-70-8</w:t>
            </w:r>
            <w:r>
              <w:rPr>
                <w:rFonts w:hint="eastAsia"/>
                <w:lang w:val="en-US" w:eastAsia="zh-CN"/>
              </w:rPr>
              <w:t>管桩到货</w:t>
            </w:r>
            <w:r>
              <w:rPr>
                <w:rFonts w:hint="default"/>
                <w:lang w:val="en-US" w:eastAsia="zh-CN"/>
              </w:rPr>
              <w:t>56</w:t>
            </w:r>
            <w:r>
              <w:rPr>
                <w:rFonts w:hint="eastAsia"/>
                <w:lang w:val="en-US" w:eastAsia="zh-CN"/>
              </w:rPr>
              <w:t>0根，占比</w:t>
            </w:r>
            <w:r>
              <w:rPr>
                <w:rFonts w:hint="default"/>
                <w:lang w:val="en-US" w:eastAsia="zh-CN"/>
              </w:rPr>
              <w:t>8.9</w:t>
            </w:r>
            <w:r>
              <w:rPr>
                <w:rFonts w:hint="eastAsia"/>
                <w:lang w:val="en-US" w:eastAsia="zh-CN"/>
              </w:rPr>
              <w:t>%；累计占比</w:t>
            </w:r>
            <w:r>
              <w:rPr>
                <w:rFonts w:hint="default"/>
                <w:lang w:val="en-US" w:eastAsia="zh-CN"/>
              </w:rPr>
              <w:t>13.4</w:t>
            </w:r>
            <w:r>
              <w:rPr>
                <w:rFonts w:hint="eastAsia"/>
                <w:lang w:val="en-US" w:eastAsia="zh-CN"/>
              </w:rPr>
              <w:t>%；</w:t>
            </w:r>
          </w:p>
          <w:p>
            <w:pPr>
              <w:pStyle w:val="7"/>
              <w:ind w:left="0" w:firstLine="0"/>
              <w:rPr>
                <w:rFonts w:hint="default"/>
                <w:lang w:val="en-US" w:eastAsia="zh-CN"/>
              </w:rPr>
            </w:pPr>
            <w:r>
              <w:rPr>
                <w:rFonts w:hint="eastAsia"/>
                <w:lang w:val="en-US" w:eastAsia="zh-CN"/>
              </w:rPr>
              <w:t xml:space="preserve">     C、需要协调问题：无</w:t>
            </w:r>
          </w:p>
          <w:p>
            <w:pPr>
              <w:pStyle w:val="7"/>
              <w:ind w:left="0" w:firstLine="420"/>
              <w:rPr>
                <w:rFonts w:hint="eastAsia"/>
                <w:lang w:val="en-US" w:eastAsia="zh-CN"/>
              </w:rPr>
            </w:pPr>
            <w:r>
              <w:rPr>
                <w:rFonts w:hint="eastAsia"/>
                <w:lang w:val="en-US" w:eastAsia="zh-CN"/>
              </w:rPr>
              <w:t>2、四川浩能新能源有限公司：</w:t>
            </w:r>
          </w:p>
          <w:p>
            <w:pPr>
              <w:pStyle w:val="7"/>
              <w:ind w:left="0" w:firstLine="420"/>
              <w:rPr>
                <w:rFonts w:hint="default"/>
                <w:lang w:val="en-US" w:eastAsia="zh-CN"/>
              </w:rPr>
            </w:pPr>
            <w:r>
              <w:rPr>
                <w:rFonts w:hint="eastAsia"/>
                <w:lang w:val="en-US" w:eastAsia="zh-CN"/>
              </w:rPr>
              <w:t xml:space="preserve"> A、本周主要工作汇报：a、管桩卸货：8m累计到货976根,累计到货占比26.8%；6m混凝土管桩，累计到货47,累计到货占比27.8%；b、支架桩基础施工：光伏支架管桩8根；累计完成光伏支架桩施工8根，累计占比0.2%；c、箱变基础桩施工12根，累计完成光伏支架桩施工12根，累计占比14.2%；d、测量放点：厂区桩基累计放点515个，累计放点占比13.5%；e、完成厂区排水沟开挖及排水作业施工；</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jc w:val="left"/>
              <w:textAlignment w:val="auto"/>
              <w:rPr>
                <w:rFonts w:hint="eastAsia" w:ascii="Times New Roman" w:hAnsi="Times New Roman" w:eastAsia="宋体" w:cs="Times New Roman"/>
                <w:kern w:val="0"/>
                <w:sz w:val="21"/>
                <w:szCs w:val="21"/>
                <w:lang w:val="en-US" w:eastAsia="zh-CN" w:bidi="ar-SA"/>
              </w:rPr>
            </w:pPr>
            <w:r>
              <w:rPr>
                <w:rFonts w:hint="eastAsia"/>
                <w:lang w:val="en-US" w:eastAsia="zh-CN"/>
              </w:rPr>
              <w:t xml:space="preserve">   </w:t>
            </w:r>
            <w:r>
              <w:rPr>
                <w:rFonts w:hint="eastAsia" w:ascii="Times New Roman" w:hAnsi="Times New Roman" w:eastAsia="宋体" w:cs="Times New Roman"/>
                <w:kern w:val="0"/>
                <w:sz w:val="21"/>
                <w:szCs w:val="21"/>
                <w:lang w:val="en-US" w:eastAsia="zh-CN" w:bidi="ar-SA"/>
              </w:rPr>
              <w:t xml:space="preserve">  B、下周主要工作安排：a、桩基放点840点，占比23%，累计占比49.9%；b、管桩打桩490根桩基，占比13%，累计占比13.3%；c、管桩到货：8米管桩到货420根，占比11.5%；累计占比36.6%；</w:t>
            </w:r>
          </w:p>
          <w:p>
            <w:pPr>
              <w:pStyle w:val="2"/>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d、管桩到货：6米到货30根，占比17.7%；累计占比49.11%；</w:t>
            </w:r>
          </w:p>
          <w:p>
            <w:pPr>
              <w:pStyle w:val="2"/>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 xml:space="preserve">     C、需要协调问题：无</w:t>
            </w:r>
          </w:p>
          <w:p>
            <w:pPr>
              <w:pStyle w:val="2"/>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二、监理单位的要求及安全文明施工：</w:t>
            </w:r>
          </w:p>
          <w:p>
            <w:pPr>
              <w:pStyle w:val="2"/>
              <w:ind w:firstLine="480"/>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戚平（专监）：1、本月为安全月，要求各单位加强现场安全管理力度；</w:t>
            </w:r>
          </w:p>
          <w:p>
            <w:pPr>
              <w:pStyle w:val="2"/>
              <w:numPr>
                <w:ilvl w:val="0"/>
                <w:numId w:val="1"/>
              </w:numPr>
              <w:ind w:firstLine="480"/>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现场临时用电的使用严格按照相关规范要求及施工方案进行指导作业；</w:t>
            </w:r>
          </w:p>
          <w:p>
            <w:pPr>
              <w:pStyle w:val="2"/>
              <w:numPr>
                <w:ilvl w:val="0"/>
                <w:numId w:val="1"/>
              </w:numPr>
              <w:ind w:firstLine="480"/>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现场施工机械，进行合理的管控，定期进行维保，排查故障，确保施工安全；</w:t>
            </w:r>
          </w:p>
          <w:p>
            <w:pPr>
              <w:pStyle w:val="2"/>
              <w:numPr>
                <w:ilvl w:val="0"/>
                <w:numId w:val="1"/>
              </w:numPr>
              <w:ind w:firstLine="480"/>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高温作业，做好防暑工作，配备好相关药品，注意饮食防治食物中毒；</w:t>
            </w:r>
          </w:p>
          <w:p>
            <w:pPr>
              <w:pStyle w:val="2"/>
              <w:numPr>
                <w:ilvl w:val="0"/>
                <w:numId w:val="0"/>
              </w:numPr>
              <w:ind w:firstLine="480"/>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韩翔雨（资料）：1、上报资料前各单位负责人认真审核；</w:t>
            </w:r>
          </w:p>
          <w:p>
            <w:pPr>
              <w:pStyle w:val="2"/>
              <w:numPr>
                <w:ilvl w:val="0"/>
                <w:numId w:val="2"/>
              </w:numPr>
              <w:ind w:firstLine="480"/>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每周上报体温检测统计台账；</w:t>
            </w:r>
          </w:p>
          <w:p>
            <w:pPr>
              <w:pStyle w:val="2"/>
              <w:numPr>
                <w:ilvl w:val="0"/>
                <w:numId w:val="2"/>
              </w:numPr>
              <w:ind w:firstLine="480"/>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工程资料必须要与现场进度同步；</w:t>
            </w:r>
          </w:p>
          <w:p>
            <w:pPr>
              <w:pStyle w:val="2"/>
              <w:numPr>
                <w:ilvl w:val="0"/>
                <w:numId w:val="2"/>
              </w:numPr>
              <w:ind w:firstLine="480"/>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做好材料到货及送检记录台账；</w:t>
            </w:r>
          </w:p>
          <w:p>
            <w:pPr>
              <w:pStyle w:val="2"/>
              <w:numPr>
                <w:ilvl w:val="0"/>
                <w:numId w:val="0"/>
              </w:numPr>
              <w:ind w:firstLine="480"/>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徐存辉（总监代表）：1、每道施工工序必须自检合格后进行报验，验收合格后方能进入下道工序施工，严禁未经验收擅自施工；</w:t>
            </w:r>
          </w:p>
          <w:p>
            <w:pPr>
              <w:pStyle w:val="2"/>
              <w:numPr>
                <w:ilvl w:val="0"/>
                <w:numId w:val="3"/>
              </w:numPr>
              <w:ind w:firstLine="480"/>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临时用电需专业电工进行每日巡检并做好相关记录，定期漏电保护检测，必须按照安全用电相关规范，做好二级、三级电源保护；</w:t>
            </w:r>
          </w:p>
          <w:p>
            <w:pPr>
              <w:pStyle w:val="2"/>
              <w:numPr>
                <w:ilvl w:val="0"/>
                <w:numId w:val="3"/>
              </w:numPr>
              <w:ind w:firstLine="480"/>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安全至关重要，必须警钟长鸣，举一反三，及时发现及时整改，排除安全隐患，确保本工程安全零事故，认真执行组织技术交底制度,交底不仅交技术,还要交安全,确保交底的内容切合实际并具有针对性,将安全责任落实到每一位施工人员身上；</w:t>
            </w:r>
          </w:p>
          <w:p>
            <w:pPr>
              <w:pStyle w:val="2"/>
              <w:numPr>
                <w:ilvl w:val="0"/>
                <w:numId w:val="3"/>
              </w:numPr>
              <w:ind w:firstLine="480"/>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安全生产工作放在头等重要的位置来抓,对安全工作按照“严、细、实”的工作思路,进行严格监督控制,确保安全工作始终处于受控状态,各单位要认真贯彻“安全第一,预防为主,综合治理”的方针,强化措施,狠抓落实。在安全管理工作中要强化责任意识,加强安全监督检查；</w:t>
            </w:r>
          </w:p>
          <w:p>
            <w:pPr>
              <w:pStyle w:val="2"/>
              <w:numPr>
                <w:ilvl w:val="0"/>
                <w:numId w:val="3"/>
              </w:numPr>
              <w:ind w:firstLine="480"/>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工期较为紧张，总包单位需在确保安全及质量的前提下合理安排每道工序，确保完成节点计划；</w:t>
            </w:r>
          </w:p>
          <w:p>
            <w:pPr>
              <w:pStyle w:val="2"/>
              <w:numPr>
                <w:ilvl w:val="0"/>
                <w:numId w:val="3"/>
              </w:numPr>
              <w:ind w:firstLine="480"/>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做好材料堆放工作，堆放管桩不得高于两层，防止滚落；</w:t>
            </w:r>
          </w:p>
          <w:p>
            <w:pPr>
              <w:pStyle w:val="2"/>
              <w:numPr>
                <w:ilvl w:val="0"/>
                <w:numId w:val="3"/>
              </w:numPr>
              <w:ind w:firstLine="480"/>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吊装作业前，对安全防脱扣及钢绞绳进行检查，严禁使用破损的吊具；</w:t>
            </w:r>
          </w:p>
          <w:p>
            <w:pPr>
              <w:pStyle w:val="2"/>
              <w:numPr>
                <w:ilvl w:val="0"/>
                <w:numId w:val="3"/>
              </w:numPr>
              <w:ind w:firstLine="480"/>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打桩前做好检查工作，并安装好二道保险；</w:t>
            </w:r>
          </w:p>
          <w:p>
            <w:pPr>
              <w:pStyle w:val="2"/>
              <w:numPr>
                <w:ilvl w:val="0"/>
                <w:numId w:val="3"/>
              </w:numPr>
              <w:ind w:firstLine="480"/>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加强对管桩施工的垂直度偏差控制；</w:t>
            </w:r>
          </w:p>
          <w:p>
            <w:pPr>
              <w:pStyle w:val="2"/>
              <w:numPr>
                <w:ilvl w:val="0"/>
                <w:numId w:val="3"/>
              </w:numPr>
              <w:ind w:left="0" w:leftChars="0" w:firstLine="480" w:firstLineChars="0"/>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加强对现场的疫情管控工作；</w:t>
            </w:r>
          </w:p>
          <w:p>
            <w:pPr>
              <w:pStyle w:val="2"/>
              <w:numPr>
                <w:ilvl w:val="0"/>
                <w:numId w:val="3"/>
              </w:numPr>
              <w:ind w:left="0" w:leftChars="0" w:firstLine="480" w:firstLineChars="0"/>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高温作业，作息时间需稍作调整，确保施工人员人身安全，相关防暑药品及物资必须配备齐全；</w:t>
            </w:r>
          </w:p>
          <w:p>
            <w:pPr>
              <w:pStyle w:val="2"/>
              <w:numPr>
                <w:ilvl w:val="0"/>
                <w:numId w:val="4"/>
              </w:numP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建设单位提出的意见及会议确定事宜：</w:t>
            </w:r>
          </w:p>
          <w:p>
            <w:pPr>
              <w:pStyle w:val="2"/>
              <w:numPr>
                <w:ilvl w:val="0"/>
                <w:numId w:val="0"/>
              </w:numPr>
              <w:ind w:firstLine="420"/>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赵兵（光伏区施工管理及土建专工）：1、桩长，已经与厂家沟通，把8米桩更换为7米桩，项目部考虑每个标段暂定为1000根，结合现场实际情况，如8米桩打不下去，就更换为7米桩；</w:t>
            </w:r>
          </w:p>
          <w:p>
            <w:pPr>
              <w:pStyle w:val="2"/>
              <w:numPr>
                <w:ilvl w:val="0"/>
                <w:numId w:val="5"/>
              </w:numPr>
              <w:ind w:firstLine="420"/>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支架及组件在06月10日左右会陆陆续续到货，两家施工单位做好接受的准备，对料场采取相关防护措施；</w:t>
            </w:r>
          </w:p>
          <w:p>
            <w:pPr>
              <w:pStyle w:val="2"/>
              <w:numPr>
                <w:ilvl w:val="0"/>
                <w:numId w:val="5"/>
              </w:numPr>
              <w:ind w:firstLine="420"/>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1标段暂时未开始打桩，进度稍微迟缓，后续再确保安全和质量的前提下争抢进度，2标抓紧转运料场，相关配套物资抓紧落实；</w:t>
            </w:r>
          </w:p>
          <w:p>
            <w:pPr>
              <w:pStyle w:val="2"/>
              <w:numPr>
                <w:ilvl w:val="0"/>
                <w:numId w:val="0"/>
              </w:numPr>
              <w:ind w:firstLine="420"/>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张杰（升压站施工管理及电气专工）：1、加强对物资的管控，物资出库当天出库当天闭环，并做好台账，必须专人办理出库相关工作；</w:t>
            </w:r>
          </w:p>
          <w:p>
            <w:pPr>
              <w:pStyle w:val="2"/>
              <w:numPr>
                <w:ilvl w:val="0"/>
                <w:numId w:val="6"/>
              </w:numPr>
              <w:ind w:firstLine="420"/>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土建及电气相结合，做好沟通工作，确保施工质量；</w:t>
            </w:r>
          </w:p>
          <w:p>
            <w:pPr>
              <w:pStyle w:val="2"/>
              <w:numPr>
                <w:ilvl w:val="0"/>
                <w:numId w:val="0"/>
              </w:numPr>
              <w:ind w:firstLine="420"/>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陈坚（项目经理）：1、各单位相关准备工作目前为止仍不充分，要求下周把所有工作安排到位，落实到个人，做好自己的岗位职责，确保工程顺利进行；</w:t>
            </w:r>
          </w:p>
          <w:p>
            <w:pPr>
              <w:pStyle w:val="2"/>
              <w:numPr>
                <w:ilvl w:val="0"/>
                <w:numId w:val="0"/>
              </w:numPr>
              <w:ind w:left="420" w:leftChars="0"/>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2、各施工单位所传日报，编制不细腻，多次出现重复，必须结合现场实际情况进行更新；</w:t>
            </w:r>
          </w:p>
          <w:p>
            <w:pPr>
              <w:pStyle w:val="2"/>
              <w:numPr>
                <w:ilvl w:val="0"/>
                <w:numId w:val="6"/>
              </w:numPr>
              <w:ind w:left="0" w:leftChars="0" w:firstLine="420" w:firstLineChars="0"/>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每日工作照片不得下午统一发，要根据实际情况进行发送，上午及下午都要发；</w:t>
            </w:r>
          </w:p>
          <w:p>
            <w:pPr>
              <w:pStyle w:val="2"/>
              <w:numPr>
                <w:ilvl w:val="0"/>
                <w:numId w:val="6"/>
              </w:numPr>
              <w:ind w:left="0" w:leftChars="0" w:firstLine="420" w:firstLineChars="0"/>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材料到货台账及时跟进并做好闭环工作；</w:t>
            </w:r>
          </w:p>
          <w:p>
            <w:pPr>
              <w:pStyle w:val="2"/>
              <w:numPr>
                <w:ilvl w:val="0"/>
                <w:numId w:val="6"/>
              </w:numPr>
              <w:ind w:left="0" w:leftChars="0" w:firstLine="420" w:firstLineChars="0"/>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本月为安全月，必须加强现场安全管控工作，每周都要进行安全检查，每月底进行安全专项检查及召开安全专题会，对本月安全管控工作进行总结；</w:t>
            </w:r>
          </w:p>
          <w:p>
            <w:pPr>
              <w:pStyle w:val="2"/>
              <w:numPr>
                <w:ilvl w:val="0"/>
                <w:numId w:val="6"/>
              </w:numPr>
              <w:ind w:left="0" w:leftChars="0" w:firstLine="420" w:firstLineChars="0"/>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在本月中旬之前，各施工单位现场安全标示标牌必须配备到位，临边防护必须搭设到位；</w:t>
            </w:r>
          </w:p>
          <w:p>
            <w:pPr>
              <w:pStyle w:val="2"/>
              <w:numPr>
                <w:ilvl w:val="0"/>
                <w:numId w:val="6"/>
              </w:numPr>
              <w:ind w:left="0" w:leftChars="0" w:firstLine="420" w:firstLineChars="0"/>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人员进行合理安排，确保节点计划；</w:t>
            </w:r>
          </w:p>
          <w:p>
            <w:pPr>
              <w:pStyle w:val="2"/>
              <w:numPr>
                <w:ilvl w:val="0"/>
                <w:numId w:val="6"/>
              </w:numPr>
              <w:ind w:left="0" w:leftChars="0" w:firstLine="420" w:firstLineChars="0"/>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防暑降温相关物资必须配备到位，所有的安全必须围绕整个项目建设来进行管控；</w:t>
            </w:r>
          </w:p>
          <w:p>
            <w:pPr>
              <w:pStyle w:val="2"/>
              <w:numPr>
                <w:ilvl w:val="0"/>
                <w:numId w:val="6"/>
              </w:numPr>
              <w:ind w:left="0" w:leftChars="0" w:firstLine="420" w:firstLineChars="0"/>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现场出现违规操作，按照考核制度及合同要求进行相关经济考核，绝不放过；</w:t>
            </w:r>
          </w:p>
          <w:p>
            <w:pPr>
              <w:pStyle w:val="2"/>
              <w:numPr>
                <w:ilvl w:val="0"/>
                <w:numId w:val="6"/>
              </w:numPr>
              <w:ind w:left="0" w:leftChars="0" w:firstLine="420" w:firstLineChars="0"/>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据钦州市气象发布，近期降雨量较大，现场做好积水抽排及临时用电相关防护作业；</w:t>
            </w:r>
          </w:p>
          <w:p>
            <w:pPr>
              <w:pStyle w:val="2"/>
              <w:numPr>
                <w:numId w:val="0"/>
              </w:numPr>
              <w:ind w:left="420" w:leftChars="0"/>
              <w:rPr>
                <w:rFonts w:hint="eastAsia" w:ascii="Times New Roman" w:hAnsi="Times New Roman" w:eastAsia="宋体" w:cs="Times New Roman"/>
                <w:color w:val="auto"/>
                <w:kern w:val="0"/>
                <w:sz w:val="21"/>
                <w:szCs w:val="21"/>
                <w:lang w:val="en-US" w:eastAsia="zh-CN" w:bidi="ar-SA"/>
              </w:rPr>
            </w:pPr>
          </w:p>
          <w:p>
            <w:pPr>
              <w:pStyle w:val="2"/>
              <w:numPr>
                <w:numId w:val="0"/>
              </w:numPr>
              <w:ind w:left="420" w:leftChars="0"/>
              <w:rPr>
                <w:rFonts w:hint="eastAsia" w:ascii="Times New Roman" w:hAnsi="Times New Roman" w:eastAsia="宋体" w:cs="Times New Roman"/>
                <w:color w:val="auto"/>
                <w:kern w:val="0"/>
                <w:sz w:val="21"/>
                <w:szCs w:val="21"/>
                <w:lang w:val="en-US" w:eastAsia="zh-CN" w:bidi="ar-SA"/>
              </w:rPr>
            </w:pPr>
          </w:p>
          <w:p>
            <w:pPr>
              <w:pStyle w:val="2"/>
              <w:numPr>
                <w:numId w:val="0"/>
              </w:numPr>
              <w:ind w:left="420" w:leftChars="0"/>
              <w:rPr>
                <w:rFonts w:hint="eastAsia" w:ascii="Times New Roman" w:hAnsi="Times New Roman" w:eastAsia="宋体" w:cs="Times New Roman"/>
                <w:color w:val="auto"/>
                <w:kern w:val="0"/>
                <w:sz w:val="21"/>
                <w:szCs w:val="21"/>
                <w:lang w:val="en-US" w:eastAsia="zh-CN" w:bidi="ar-SA"/>
              </w:rPr>
            </w:pPr>
          </w:p>
          <w:p>
            <w:pPr>
              <w:pStyle w:val="2"/>
              <w:numPr>
                <w:numId w:val="0"/>
              </w:numPr>
              <w:ind w:left="420" w:leftChars="0"/>
              <w:rPr>
                <w:rFonts w:hint="eastAsia" w:ascii="Times New Roman" w:hAnsi="Times New Roman" w:eastAsia="宋体" w:cs="Times New Roman"/>
                <w:color w:val="auto"/>
                <w:kern w:val="0"/>
                <w:sz w:val="21"/>
                <w:szCs w:val="21"/>
                <w:lang w:val="en-US" w:eastAsia="zh-CN" w:bidi="ar-SA"/>
              </w:rPr>
            </w:pPr>
          </w:p>
          <w:p>
            <w:pPr>
              <w:pStyle w:val="2"/>
              <w:numPr>
                <w:numId w:val="0"/>
              </w:numPr>
              <w:ind w:left="420" w:leftChars="0"/>
              <w:rPr>
                <w:rFonts w:hint="eastAsia" w:ascii="Times New Roman" w:hAnsi="Times New Roman" w:eastAsia="宋体" w:cs="Times New Roman"/>
                <w:color w:val="auto"/>
                <w:kern w:val="0"/>
                <w:sz w:val="21"/>
                <w:szCs w:val="21"/>
                <w:lang w:val="en-US" w:eastAsia="zh-CN" w:bidi="ar-SA"/>
              </w:rPr>
            </w:pPr>
          </w:p>
          <w:p>
            <w:pPr>
              <w:pStyle w:val="2"/>
              <w:numPr>
                <w:numId w:val="0"/>
              </w:numPr>
              <w:ind w:left="420" w:leftChars="0"/>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drawing>
                <wp:inline distT="0" distB="0" distL="114300" distR="114300">
                  <wp:extent cx="5561330" cy="4499610"/>
                  <wp:effectExtent l="0" t="0" r="1270" b="15240"/>
                  <wp:docPr id="1" name="图片 1" descr="fbb5d6af908eba418e3197193d0ad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bb5d6af908eba418e3197193d0ad4a"/>
                          <pic:cNvPicPr>
                            <a:picLocks noChangeAspect="1"/>
                          </pic:cNvPicPr>
                        </pic:nvPicPr>
                        <pic:blipFill>
                          <a:blip r:embed="rId4"/>
                          <a:stretch>
                            <a:fillRect/>
                          </a:stretch>
                        </pic:blipFill>
                        <pic:spPr>
                          <a:xfrm>
                            <a:off x="0" y="0"/>
                            <a:ext cx="5561330" cy="4499610"/>
                          </a:xfrm>
                          <a:prstGeom prst="rect">
                            <a:avLst/>
                          </a:prstGeom>
                        </pic:spPr>
                      </pic:pic>
                    </a:graphicData>
                  </a:graphic>
                </wp:inline>
              </w:drawing>
            </w:r>
          </w:p>
          <w:p>
            <w:pPr>
              <w:pStyle w:val="2"/>
              <w:numPr>
                <w:numId w:val="0"/>
              </w:numPr>
              <w:ind w:left="420" w:leftChars="0"/>
              <w:rPr>
                <w:rFonts w:hint="eastAsia" w:ascii="Times New Roman" w:hAnsi="Times New Roman" w:eastAsia="宋体" w:cs="Times New Roman"/>
                <w:color w:val="auto"/>
                <w:kern w:val="0"/>
                <w:sz w:val="21"/>
                <w:szCs w:val="21"/>
                <w:lang w:val="en-US" w:eastAsia="zh-CN" w:bidi="ar-SA"/>
              </w:rPr>
            </w:pPr>
          </w:p>
          <w:p>
            <w:pPr>
              <w:pStyle w:val="2"/>
              <w:numPr>
                <w:numId w:val="0"/>
              </w:numPr>
              <w:ind w:left="420" w:leftChars="0"/>
              <w:rPr>
                <w:rFonts w:hint="eastAsia" w:ascii="Times New Roman" w:hAnsi="Times New Roman" w:eastAsia="宋体" w:cs="Times New Roman"/>
                <w:color w:val="auto"/>
                <w:kern w:val="0"/>
                <w:sz w:val="21"/>
                <w:szCs w:val="21"/>
                <w:lang w:val="en-US" w:eastAsia="zh-CN" w:bidi="ar-SA"/>
              </w:rPr>
            </w:pPr>
          </w:p>
          <w:p>
            <w:pPr>
              <w:pStyle w:val="2"/>
              <w:numPr>
                <w:numId w:val="0"/>
              </w:numPr>
              <w:ind w:left="420" w:leftChars="0"/>
              <w:rPr>
                <w:rFonts w:hint="eastAsia" w:ascii="Times New Roman" w:hAnsi="Times New Roman" w:eastAsia="宋体" w:cs="Times New Roman"/>
                <w:color w:val="auto"/>
                <w:kern w:val="0"/>
                <w:sz w:val="21"/>
                <w:szCs w:val="21"/>
                <w:lang w:val="en-US" w:eastAsia="zh-CN" w:bidi="ar-SA"/>
              </w:rPr>
            </w:pPr>
          </w:p>
          <w:p>
            <w:pPr>
              <w:pStyle w:val="2"/>
              <w:numPr>
                <w:numId w:val="0"/>
              </w:numPr>
              <w:ind w:left="420" w:leftChars="0"/>
              <w:rPr>
                <w:rFonts w:hint="eastAsia" w:ascii="Times New Roman" w:hAnsi="Times New Roman" w:eastAsia="宋体" w:cs="Times New Roman"/>
                <w:color w:val="auto"/>
                <w:kern w:val="0"/>
                <w:sz w:val="21"/>
                <w:szCs w:val="21"/>
                <w:lang w:val="en-US" w:eastAsia="zh-CN" w:bidi="ar-SA"/>
              </w:rPr>
            </w:pPr>
          </w:p>
          <w:p>
            <w:pPr>
              <w:pStyle w:val="2"/>
              <w:numPr>
                <w:numId w:val="0"/>
              </w:numPr>
              <w:ind w:left="420" w:leftChars="0"/>
              <w:rPr>
                <w:rFonts w:hint="eastAsia" w:ascii="Times New Roman" w:hAnsi="Times New Roman" w:eastAsia="宋体" w:cs="Times New Roman"/>
                <w:color w:val="auto"/>
                <w:kern w:val="0"/>
                <w:sz w:val="21"/>
                <w:szCs w:val="21"/>
                <w:lang w:val="en-US" w:eastAsia="zh-CN" w:bidi="ar-SA"/>
              </w:rPr>
            </w:pPr>
          </w:p>
          <w:p>
            <w:pPr>
              <w:pStyle w:val="2"/>
              <w:numPr>
                <w:numId w:val="0"/>
              </w:numPr>
              <w:ind w:left="420" w:leftChars="0"/>
              <w:rPr>
                <w:rFonts w:hint="eastAsia" w:ascii="Times New Roman" w:hAnsi="Times New Roman" w:eastAsia="宋体" w:cs="Times New Roman"/>
                <w:color w:val="auto"/>
                <w:kern w:val="0"/>
                <w:sz w:val="21"/>
                <w:szCs w:val="21"/>
                <w:lang w:val="en-US" w:eastAsia="zh-CN" w:bidi="ar-SA"/>
              </w:rPr>
            </w:pPr>
          </w:p>
          <w:p>
            <w:pPr>
              <w:pStyle w:val="2"/>
              <w:numPr>
                <w:numId w:val="0"/>
              </w:numPr>
              <w:rPr>
                <w:rFonts w:hint="default" w:ascii="Times New Roman" w:hAnsi="Times New Roman" w:eastAsia="宋体" w:cs="Times New Roman"/>
                <w:color w:val="auto"/>
                <w:kern w:val="0"/>
                <w:sz w:val="21"/>
                <w:szCs w:val="21"/>
                <w:lang w:val="en-US" w:eastAsia="zh-CN" w:bidi="ar-SA"/>
              </w:rPr>
            </w:pP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1184" w:hRule="atLeast"/>
        </w:trPr>
        <w:tc>
          <w:tcPr>
            <w:tcW w:w="1516"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20"/>
              <w:jc w:val="left"/>
              <w:textAlignment w:val="auto"/>
              <w:rPr>
                <w:rFonts w:hint="eastAsia" w:ascii="宋体" w:hAnsi="宋体"/>
                <w:sz w:val="21"/>
                <w:szCs w:val="21"/>
                <w:lang w:val="en-US" w:eastAsia="zh-CN"/>
              </w:rPr>
            </w:pPr>
            <w:r>
              <w:rPr>
                <w:rFonts w:hint="eastAsia" w:ascii="宋体" w:hAnsi="宋体"/>
                <w:sz w:val="21"/>
                <w:szCs w:val="21"/>
                <w:lang w:val="en-US" w:eastAsia="zh-CN"/>
              </w:rPr>
              <w:t>主送单位</w:t>
            </w:r>
          </w:p>
        </w:tc>
        <w:tc>
          <w:tcPr>
            <w:tcW w:w="8114"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20"/>
              <w:jc w:val="left"/>
              <w:textAlignment w:val="auto"/>
              <w:rPr>
                <w:rFonts w:hint="eastAsia" w:ascii="宋体" w:hAnsi="宋体"/>
                <w:sz w:val="21"/>
                <w:szCs w:val="21"/>
                <w:lang w:val="en-US" w:eastAsia="zh-CN"/>
              </w:rPr>
            </w:pPr>
            <w:r>
              <w:rPr>
                <w:rFonts w:hint="eastAsia" w:ascii="宋体" w:hAnsi="宋体"/>
                <w:sz w:val="21"/>
                <w:szCs w:val="21"/>
                <w:lang w:val="en-US" w:eastAsia="zh-CN"/>
              </w:rPr>
              <w:t>钦州通威惠金新能源有限公司</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20"/>
              <w:jc w:val="left"/>
              <w:textAlignment w:val="auto"/>
              <w:rPr>
                <w:rFonts w:hint="eastAsia" w:ascii="宋体" w:hAnsi="宋体"/>
                <w:sz w:val="21"/>
                <w:szCs w:val="21"/>
                <w:lang w:val="en-US" w:eastAsia="zh-CN"/>
              </w:rPr>
            </w:pPr>
            <w:r>
              <w:rPr>
                <w:rFonts w:hint="eastAsia" w:ascii="宋体" w:hAnsi="宋体"/>
                <w:sz w:val="21"/>
                <w:szCs w:val="21"/>
                <w:lang w:val="en-US" w:eastAsia="zh-CN"/>
              </w:rPr>
              <w:t>安徽中建富华能源建设有限公司</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20"/>
              <w:jc w:val="left"/>
              <w:textAlignment w:val="auto"/>
              <w:rPr>
                <w:rFonts w:hint="default" w:ascii="宋体" w:hAnsi="宋体"/>
                <w:sz w:val="21"/>
                <w:szCs w:val="21"/>
                <w:lang w:val="en-US" w:eastAsia="zh-CN"/>
              </w:rPr>
            </w:pPr>
            <w:r>
              <w:rPr>
                <w:rFonts w:hint="default" w:ascii="宋体" w:hAnsi="宋体"/>
                <w:sz w:val="21"/>
                <w:szCs w:val="21"/>
                <w:lang w:val="en-US" w:eastAsia="zh-CN"/>
              </w:rPr>
              <w:t>四川浩能新能源有限公司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891" w:hRule="atLeast"/>
        </w:trPr>
        <w:tc>
          <w:tcPr>
            <w:tcW w:w="1516"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20"/>
              <w:jc w:val="left"/>
              <w:textAlignment w:val="auto"/>
              <w:rPr>
                <w:rFonts w:hint="eastAsia" w:ascii="宋体" w:hAnsi="宋体"/>
                <w:sz w:val="21"/>
                <w:szCs w:val="21"/>
                <w:lang w:val="en-US" w:eastAsia="zh-CN"/>
              </w:rPr>
            </w:pPr>
            <w:r>
              <w:rPr>
                <w:rFonts w:hint="eastAsia" w:ascii="宋体" w:hAnsi="宋体"/>
                <w:sz w:val="21"/>
                <w:szCs w:val="21"/>
                <w:lang w:val="en-US" w:eastAsia="zh-CN"/>
              </w:rPr>
              <w:t>发文单位</w:t>
            </w:r>
          </w:p>
        </w:tc>
        <w:tc>
          <w:tcPr>
            <w:tcW w:w="3994"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20"/>
              <w:jc w:val="left"/>
              <w:textAlignment w:val="auto"/>
              <w:rPr>
                <w:rFonts w:hint="eastAsia" w:ascii="宋体" w:hAnsi="宋体"/>
                <w:sz w:val="21"/>
                <w:szCs w:val="21"/>
                <w:lang w:val="en-US" w:eastAsia="zh-CN"/>
              </w:rPr>
            </w:pPr>
            <w:r>
              <w:rPr>
                <w:rFonts w:hint="eastAsia" w:ascii="宋体" w:hAnsi="宋体"/>
                <w:sz w:val="21"/>
                <w:szCs w:val="21"/>
                <w:lang w:val="en-US" w:eastAsia="zh-CN"/>
              </w:rPr>
              <w:t>常州正衡电力工程监理有限公司</w:t>
            </w:r>
          </w:p>
        </w:tc>
        <w:tc>
          <w:tcPr>
            <w:tcW w:w="157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20"/>
              <w:jc w:val="left"/>
              <w:textAlignment w:val="auto"/>
              <w:rPr>
                <w:rFonts w:hint="eastAsia" w:ascii="宋体" w:hAnsi="宋体"/>
                <w:sz w:val="21"/>
                <w:szCs w:val="21"/>
                <w:lang w:val="en-US" w:eastAsia="zh-CN"/>
              </w:rPr>
            </w:pPr>
            <w:r>
              <w:rPr>
                <w:rFonts w:hint="eastAsia" w:ascii="宋体" w:hAnsi="宋体"/>
                <w:sz w:val="21"/>
                <w:szCs w:val="21"/>
                <w:lang w:val="en-US" w:eastAsia="zh-CN"/>
              </w:rPr>
              <w:t>发文时间</w:t>
            </w:r>
          </w:p>
        </w:tc>
        <w:tc>
          <w:tcPr>
            <w:tcW w:w="2550"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20"/>
              <w:jc w:val="left"/>
              <w:textAlignment w:val="auto"/>
              <w:rPr>
                <w:rFonts w:hint="eastAsia" w:ascii="宋体" w:hAnsi="宋体"/>
                <w:sz w:val="21"/>
                <w:szCs w:val="21"/>
                <w:lang w:val="en-US" w:eastAsia="zh-CN"/>
              </w:rPr>
            </w:pPr>
            <w:r>
              <w:rPr>
                <w:rFonts w:hint="eastAsia" w:ascii="宋体" w:hAnsi="宋体"/>
                <w:sz w:val="21"/>
                <w:szCs w:val="21"/>
                <w:lang w:val="en-US" w:eastAsia="zh-CN"/>
              </w:rPr>
              <w:t>2021年06月04日</w:t>
            </w:r>
          </w:p>
        </w:tc>
      </w:tr>
    </w:tbl>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20"/>
        <w:jc w:val="left"/>
        <w:textAlignment w:val="auto"/>
        <w:rPr>
          <w:rFonts w:hint="eastAsia" w:ascii="宋体" w:hAnsi="宋体"/>
        </w:rPr>
      </w:pPr>
      <w:r>
        <w:rPr>
          <w:rFonts w:hint="eastAsia" w:ascii="宋体" w:hAnsi="宋体"/>
          <w:lang w:val="en-US" w:eastAsia="zh-CN"/>
        </w:rPr>
        <w:t>注：会议纪要由监理项目部起草，经总监理工程师签发后下发</w:t>
      </w:r>
    </w:p>
    <w:p>
      <w:pPr>
        <w:spacing w:line="300" w:lineRule="auto"/>
        <w:rPr>
          <w:rFonts w:hint="eastAsia" w:ascii="宋体" w:hAnsi="宋体"/>
          <w:lang w:val="en-US" w:eastAsia="zh-CN"/>
        </w:rPr>
      </w:pPr>
    </w:p>
    <w:p>
      <w:pPr>
        <w:rPr>
          <w:rFonts w:hint="eastAsia" w:ascii="Arial" w:hAnsi="Arial" w:cs="Arial"/>
          <w:b w:val="0"/>
          <w:bCs w:val="0"/>
          <w:color w:val="auto"/>
          <w:sz w:val="24"/>
          <w:szCs w:val="24"/>
          <w:u w:val="none"/>
          <w:vertAlign w:val="baseline"/>
          <w:lang w:val="en-US" w:eastAsia="zh-CN"/>
        </w:rPr>
      </w:pPr>
      <w:r>
        <w:rPr>
          <w:rFonts w:hint="eastAsia"/>
          <w:lang w:val="en-US" w:eastAsia="zh-CN"/>
        </w:rPr>
        <w:t xml:space="preserve">                                                  </w:t>
      </w:r>
      <w:r>
        <w:rPr>
          <w:rFonts w:hint="eastAsia" w:ascii="Arial" w:hAnsi="Arial" w:cs="Arial"/>
          <w:b w:val="0"/>
          <w:bCs w:val="0"/>
          <w:color w:val="auto"/>
          <w:sz w:val="24"/>
          <w:szCs w:val="24"/>
          <w:u w:val="none"/>
          <w:vertAlign w:val="baseline"/>
          <w:lang w:val="en-US" w:eastAsia="zh-CN"/>
        </w:rPr>
        <w:t>签  发：</w:t>
      </w:r>
    </w:p>
    <w:p>
      <w:pPr>
        <w:rPr>
          <w:rFonts w:hint="eastAsia" w:ascii="Arial" w:hAnsi="Arial" w:cs="Arial"/>
          <w:b w:val="0"/>
          <w:bCs w:val="0"/>
          <w:color w:val="auto"/>
          <w:sz w:val="24"/>
          <w:szCs w:val="24"/>
          <w:u w:val="none"/>
          <w:vertAlign w:val="baseline"/>
          <w:lang w:val="en-US" w:eastAsia="zh-CN"/>
        </w:rPr>
      </w:pPr>
      <w:r>
        <w:rPr>
          <w:rFonts w:hint="eastAsia" w:ascii="Arial" w:hAnsi="Arial" w:cs="Arial"/>
          <w:b w:val="0"/>
          <w:bCs w:val="0"/>
          <w:color w:val="auto"/>
          <w:sz w:val="24"/>
          <w:szCs w:val="24"/>
          <w:u w:val="none"/>
          <w:vertAlign w:val="baseline"/>
          <w:lang w:val="en-US" w:eastAsia="zh-CN"/>
        </w:rPr>
        <w:t xml:space="preserve">                                               </w:t>
      </w:r>
    </w:p>
    <w:p>
      <w:pPr>
        <w:tabs>
          <w:tab w:val="left" w:pos="7510"/>
        </w:tabs>
        <w:bidi w:val="0"/>
        <w:jc w:val="left"/>
        <w:rPr>
          <w:rFonts w:hint="default"/>
          <w:lang w:val="en-US" w:eastAsia="zh-CN"/>
        </w:rPr>
      </w:pPr>
      <w:r>
        <w:rPr>
          <w:rFonts w:hint="eastAsia" w:ascii="Arial" w:hAnsi="Arial" w:cs="Arial"/>
          <w:b w:val="0"/>
          <w:bCs w:val="0"/>
          <w:color w:val="auto"/>
          <w:sz w:val="24"/>
          <w:szCs w:val="24"/>
          <w:u w:val="none"/>
          <w:vertAlign w:val="baseline"/>
          <w:lang w:val="en-US" w:eastAsia="zh-CN"/>
        </w:rPr>
        <w:t xml:space="preserve">                                            日  期：</w:t>
      </w:r>
    </w:p>
    <w:sectPr>
      <w:pgSz w:w="11906" w:h="16838"/>
      <w:pgMar w:top="1418" w:right="850" w:bottom="85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050E4D"/>
    <w:multiLevelType w:val="singleLevel"/>
    <w:tmpl w:val="D7050E4D"/>
    <w:lvl w:ilvl="0" w:tentative="0">
      <w:start w:val="2"/>
      <w:numFmt w:val="decimal"/>
      <w:suff w:val="nothing"/>
      <w:lvlText w:val="%1、"/>
      <w:lvlJc w:val="left"/>
    </w:lvl>
  </w:abstractNum>
  <w:abstractNum w:abstractNumId="1">
    <w:nsid w:val="299C6052"/>
    <w:multiLevelType w:val="singleLevel"/>
    <w:tmpl w:val="299C6052"/>
    <w:lvl w:ilvl="0" w:tentative="0">
      <w:start w:val="2"/>
      <w:numFmt w:val="decimal"/>
      <w:suff w:val="nothing"/>
      <w:lvlText w:val="%1、"/>
      <w:lvlJc w:val="left"/>
    </w:lvl>
  </w:abstractNum>
  <w:abstractNum w:abstractNumId="2">
    <w:nsid w:val="34D353B9"/>
    <w:multiLevelType w:val="singleLevel"/>
    <w:tmpl w:val="34D353B9"/>
    <w:lvl w:ilvl="0" w:tentative="0">
      <w:start w:val="3"/>
      <w:numFmt w:val="chineseCounting"/>
      <w:suff w:val="nothing"/>
      <w:lvlText w:val="%1、"/>
      <w:lvlJc w:val="left"/>
      <w:rPr>
        <w:rFonts w:hint="eastAsia"/>
      </w:rPr>
    </w:lvl>
  </w:abstractNum>
  <w:abstractNum w:abstractNumId="3">
    <w:nsid w:val="39B813F9"/>
    <w:multiLevelType w:val="singleLevel"/>
    <w:tmpl w:val="39B813F9"/>
    <w:lvl w:ilvl="0" w:tentative="0">
      <w:start w:val="2"/>
      <w:numFmt w:val="decimal"/>
      <w:suff w:val="nothing"/>
      <w:lvlText w:val="%1、"/>
      <w:lvlJc w:val="left"/>
    </w:lvl>
  </w:abstractNum>
  <w:abstractNum w:abstractNumId="4">
    <w:nsid w:val="513711F8"/>
    <w:multiLevelType w:val="singleLevel"/>
    <w:tmpl w:val="513711F8"/>
    <w:lvl w:ilvl="0" w:tentative="0">
      <w:start w:val="2"/>
      <w:numFmt w:val="decimal"/>
      <w:suff w:val="nothing"/>
      <w:lvlText w:val="%1、"/>
      <w:lvlJc w:val="left"/>
    </w:lvl>
  </w:abstractNum>
  <w:abstractNum w:abstractNumId="5">
    <w:nsid w:val="64DD0DE1"/>
    <w:multiLevelType w:val="singleLevel"/>
    <w:tmpl w:val="64DD0DE1"/>
    <w:lvl w:ilvl="0" w:tentative="0">
      <w:start w:val="2"/>
      <w:numFmt w:val="decimal"/>
      <w:suff w:val="nothing"/>
      <w:lvlText w:val="%1、"/>
      <w:lvlJc w:val="left"/>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5BE"/>
    <w:rsid w:val="002422B5"/>
    <w:rsid w:val="002675BE"/>
    <w:rsid w:val="00387D6A"/>
    <w:rsid w:val="003E465C"/>
    <w:rsid w:val="0042362E"/>
    <w:rsid w:val="00556CFF"/>
    <w:rsid w:val="005764D0"/>
    <w:rsid w:val="006D5518"/>
    <w:rsid w:val="006E19CF"/>
    <w:rsid w:val="006E3930"/>
    <w:rsid w:val="00737E76"/>
    <w:rsid w:val="007A0962"/>
    <w:rsid w:val="00931DC2"/>
    <w:rsid w:val="00973AF8"/>
    <w:rsid w:val="009D021C"/>
    <w:rsid w:val="00A311DB"/>
    <w:rsid w:val="00AB7F19"/>
    <w:rsid w:val="00BE0ACC"/>
    <w:rsid w:val="00DA2BB7"/>
    <w:rsid w:val="00DD02AC"/>
    <w:rsid w:val="00E948D8"/>
    <w:rsid w:val="00EF7BD4"/>
    <w:rsid w:val="01581EFE"/>
    <w:rsid w:val="03886542"/>
    <w:rsid w:val="05564F2F"/>
    <w:rsid w:val="05692379"/>
    <w:rsid w:val="06341EDB"/>
    <w:rsid w:val="076729D0"/>
    <w:rsid w:val="084D1B55"/>
    <w:rsid w:val="090036FB"/>
    <w:rsid w:val="09286E04"/>
    <w:rsid w:val="0BC026D3"/>
    <w:rsid w:val="0BDB58C0"/>
    <w:rsid w:val="0BFC4FFE"/>
    <w:rsid w:val="0CE65793"/>
    <w:rsid w:val="0D080A9C"/>
    <w:rsid w:val="10E91994"/>
    <w:rsid w:val="1159609C"/>
    <w:rsid w:val="141D3476"/>
    <w:rsid w:val="15292B1D"/>
    <w:rsid w:val="17E962F0"/>
    <w:rsid w:val="197508F0"/>
    <w:rsid w:val="19A31592"/>
    <w:rsid w:val="1B04297E"/>
    <w:rsid w:val="1C2B526F"/>
    <w:rsid w:val="1EB712B7"/>
    <w:rsid w:val="20232FDD"/>
    <w:rsid w:val="20BA165B"/>
    <w:rsid w:val="213F1180"/>
    <w:rsid w:val="23BE036B"/>
    <w:rsid w:val="25064C3F"/>
    <w:rsid w:val="25DA33CA"/>
    <w:rsid w:val="26F12698"/>
    <w:rsid w:val="27A341FF"/>
    <w:rsid w:val="2AC75CAB"/>
    <w:rsid w:val="2BDD0982"/>
    <w:rsid w:val="2CDD25E1"/>
    <w:rsid w:val="2D734AE4"/>
    <w:rsid w:val="2E175DC2"/>
    <w:rsid w:val="2F3C0E09"/>
    <w:rsid w:val="2F762536"/>
    <w:rsid w:val="30217A7B"/>
    <w:rsid w:val="303B16BC"/>
    <w:rsid w:val="30552723"/>
    <w:rsid w:val="30C2329A"/>
    <w:rsid w:val="30F85CEA"/>
    <w:rsid w:val="364A3416"/>
    <w:rsid w:val="375C14FB"/>
    <w:rsid w:val="379C2D15"/>
    <w:rsid w:val="37AD26D8"/>
    <w:rsid w:val="38375D75"/>
    <w:rsid w:val="38717C5A"/>
    <w:rsid w:val="395C7974"/>
    <w:rsid w:val="397E1A29"/>
    <w:rsid w:val="3A217EA6"/>
    <w:rsid w:val="3A932B34"/>
    <w:rsid w:val="3B9737BE"/>
    <w:rsid w:val="3BA61426"/>
    <w:rsid w:val="3DAD5079"/>
    <w:rsid w:val="41322769"/>
    <w:rsid w:val="42C812C6"/>
    <w:rsid w:val="44297EBB"/>
    <w:rsid w:val="44B301B9"/>
    <w:rsid w:val="456024E7"/>
    <w:rsid w:val="461F44A0"/>
    <w:rsid w:val="47253F47"/>
    <w:rsid w:val="47AA327D"/>
    <w:rsid w:val="48B92914"/>
    <w:rsid w:val="4AF54CB7"/>
    <w:rsid w:val="4B5B0D98"/>
    <w:rsid w:val="4B8C5A65"/>
    <w:rsid w:val="4C3E20FF"/>
    <w:rsid w:val="4C7C3349"/>
    <w:rsid w:val="4D2F318E"/>
    <w:rsid w:val="4EAD596E"/>
    <w:rsid w:val="4EED5B9F"/>
    <w:rsid w:val="4F9C7FE2"/>
    <w:rsid w:val="504D38F5"/>
    <w:rsid w:val="50776C67"/>
    <w:rsid w:val="51A653A8"/>
    <w:rsid w:val="522576C2"/>
    <w:rsid w:val="53AE2ABE"/>
    <w:rsid w:val="573D1AFA"/>
    <w:rsid w:val="59F900AC"/>
    <w:rsid w:val="59FF20C5"/>
    <w:rsid w:val="5AF3279F"/>
    <w:rsid w:val="5BDE7701"/>
    <w:rsid w:val="5E5B1F45"/>
    <w:rsid w:val="60825CD8"/>
    <w:rsid w:val="62137703"/>
    <w:rsid w:val="62627A08"/>
    <w:rsid w:val="646F5BD9"/>
    <w:rsid w:val="652E7606"/>
    <w:rsid w:val="653571F0"/>
    <w:rsid w:val="6567559D"/>
    <w:rsid w:val="66E116DE"/>
    <w:rsid w:val="68ED4718"/>
    <w:rsid w:val="697A0C5A"/>
    <w:rsid w:val="6D210C1F"/>
    <w:rsid w:val="6D635AFF"/>
    <w:rsid w:val="6E832E47"/>
    <w:rsid w:val="6F3C48B1"/>
    <w:rsid w:val="6FF77EBC"/>
    <w:rsid w:val="70634C6C"/>
    <w:rsid w:val="710D0345"/>
    <w:rsid w:val="721B3F7A"/>
    <w:rsid w:val="72412DE6"/>
    <w:rsid w:val="73541EB0"/>
    <w:rsid w:val="78E32723"/>
    <w:rsid w:val="79213F37"/>
    <w:rsid w:val="7955114A"/>
    <w:rsid w:val="7DC87380"/>
    <w:rsid w:val="7EBD2677"/>
    <w:rsid w:val="7EC35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3"/>
    <w:basedOn w:val="1"/>
    <w:next w:val="1"/>
    <w:link w:val="10"/>
    <w:qFormat/>
    <w:uiPriority w:val="9"/>
    <w:pPr>
      <w:keepNext/>
      <w:keepLines/>
      <w:jc w:val="left"/>
      <w:outlineLvl w:val="2"/>
    </w:pPr>
    <w:rPr>
      <w:sz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pPr>
    <w:rPr>
      <w:rFonts w:ascii="黑体" w:hAnsi="Calibri" w:eastAsia="黑体" w:cs="黑体"/>
      <w:color w:val="000000"/>
      <w:sz w:val="24"/>
    </w:rPr>
  </w:style>
  <w:style w:type="paragraph" w:styleId="4">
    <w:name w:val="Body Text Indent"/>
    <w:basedOn w:val="1"/>
    <w:qFormat/>
    <w:uiPriority w:val="0"/>
    <w:pPr>
      <w:ind w:firstLine="600"/>
    </w:pPr>
    <w:rPr>
      <w:rFonts w:ascii="宋体" w:hAnsi="宋体"/>
      <w:sz w:val="30"/>
      <w:szCs w:val="20"/>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qFormat/>
    <w:uiPriority w:val="0"/>
    <w:pPr>
      <w:adjustRightInd w:val="0"/>
      <w:spacing w:after="120" w:line="312" w:lineRule="atLeast"/>
      <w:ind w:left="420" w:firstLine="420" w:firstLineChars="0"/>
      <w:textAlignment w:val="baseline"/>
    </w:pPr>
    <w:rPr>
      <w:rFonts w:ascii="Times New Roman" w:hAnsi="Times New Roman"/>
      <w:kern w:val="0"/>
      <w:sz w:val="21"/>
      <w:szCs w:val="21"/>
    </w:rPr>
  </w:style>
  <w:style w:type="character" w:customStyle="1" w:styleId="10">
    <w:name w:val="标题 3 字符"/>
    <w:basedOn w:val="9"/>
    <w:link w:val="3"/>
    <w:qFormat/>
    <w:uiPriority w:val="9"/>
    <w:rPr>
      <w:rFonts w:ascii="Times New Roman" w:hAnsi="Times New Roman" w:eastAsia="宋体" w:cs="Times New Roman"/>
      <w:sz w:val="24"/>
      <w:szCs w:val="20"/>
    </w:rPr>
  </w:style>
  <w:style w:type="paragraph" w:styleId="11">
    <w:name w:val="List Paragraph"/>
    <w:basedOn w:val="1"/>
    <w:qFormat/>
    <w:uiPriority w:val="34"/>
    <w:pPr>
      <w:ind w:firstLine="420" w:firstLineChars="200"/>
    </w:pPr>
  </w:style>
  <w:style w:type="character" w:customStyle="1" w:styleId="12">
    <w:name w:val="页眉 字符"/>
    <w:basedOn w:val="9"/>
    <w:link w:val="6"/>
    <w:qFormat/>
    <w:uiPriority w:val="99"/>
    <w:rPr>
      <w:rFonts w:ascii="Times New Roman" w:hAnsi="Times New Roman" w:eastAsia="宋体" w:cs="Times New Roman"/>
      <w:sz w:val="18"/>
      <w:szCs w:val="18"/>
    </w:rPr>
  </w:style>
  <w:style w:type="character" w:customStyle="1" w:styleId="13">
    <w:name w:val="页脚 字符"/>
    <w:basedOn w:val="9"/>
    <w:link w:val="5"/>
    <w:qFormat/>
    <w:uiPriority w:val="99"/>
    <w:rPr>
      <w:rFonts w:ascii="Times New Roman" w:hAnsi="Times New Roman" w:eastAsia="宋体" w:cs="Times New Roman"/>
      <w:sz w:val="18"/>
      <w:szCs w:val="18"/>
    </w:rPr>
  </w:style>
  <w:style w:type="character" w:customStyle="1" w:styleId="14">
    <w:name w:val="NormalCharacter"/>
    <w:qFormat/>
    <w:uiPriority w:val="0"/>
    <w:rPr>
      <w:rFonts w:ascii="Calibri" w:hAnsi="Calibri"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161</Words>
  <Characters>924</Characters>
  <Lines>7</Lines>
  <Paragraphs>2</Paragraphs>
  <TotalTime>73</TotalTime>
  <ScaleCrop>false</ScaleCrop>
  <LinksUpToDate>false</LinksUpToDate>
  <CharactersWithSpaces>1083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2019-08-01T14:14:00Z</dcterms:created>
  <dc:creator>青 常</dc:creator>
  <cp:lastModifiedBy>啦啦啦</cp:lastModifiedBy>
  <cp:lastPrinted>2020-04-26T07:27:00Z</cp:lastPrinted>
  <dcterms:modified xsi:type="dcterms:W3CDTF">2021-06-04T09:27:03Z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1C90939C67A7415AABAD96F358E923C5</vt:lpwstr>
  </property>
</Properties>
</file>