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会  议  纪  要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eastAsia="zh-CN"/>
        </w:rPr>
        <w:t>钦州康熙岭渔光一体光伏电站（四期）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    </w:t>
      </w:r>
      <w:r>
        <w:rPr>
          <w:rFonts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 xml:space="preserve">JXM8 </w:t>
      </w:r>
      <w:r>
        <w:rPr>
          <w:rFonts w:hint="eastAsia"/>
          <w:sz w:val="24"/>
          <w:szCs w:val="24"/>
          <w:lang w:val="en-US" w:eastAsia="zh-CN"/>
        </w:rPr>
        <w:t>-JLLH</w:t>
      </w:r>
      <w:r>
        <w:rPr>
          <w:rFonts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06</w:t>
      </w:r>
    </w:p>
    <w:tbl>
      <w:tblPr>
        <w:tblStyle w:val="8"/>
        <w:tblW w:w="9630" w:type="dxa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16"/>
        <w:gridCol w:w="651"/>
        <w:gridCol w:w="2526"/>
        <w:gridCol w:w="817"/>
        <w:gridCol w:w="1044"/>
        <w:gridCol w:w="526"/>
        <w:gridCol w:w="2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会议地点</w:t>
            </w:r>
          </w:p>
        </w:tc>
        <w:tc>
          <w:tcPr>
            <w:tcW w:w="25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升压站会议室</w:t>
            </w:r>
          </w:p>
        </w:tc>
        <w:tc>
          <w:tcPr>
            <w:tcW w:w="18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会议时间</w:t>
            </w:r>
          </w:p>
        </w:tc>
        <w:tc>
          <w:tcPr>
            <w:tcW w:w="307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2021年07月01日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会议主持人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徐存辉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会议主题：钦州康熙岭渔光一体光伏电站（四期） 监理例会第六期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参会人员：陈坚、赵兵、张杰、徐存辉、韩翔雨、戚平、陈大爽、曹均帅、蓝宁宁、张兵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5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2021年07月01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日，在升压站会议室召开本项目第六次监理例会，会议具体内容如下：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一、施工单位项目施工情况及需要协调问题：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1、安徽中建富华能源建设有限公司：   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</w:t>
            </w:r>
            <w:r>
              <w:rPr>
                <w:rFonts w:hint="eastAsia"/>
              </w:rPr>
              <w:t>PHC-300-AB-70-8管桩进场165根，累计到桩2595根,累计到货占比52.62%，整体到货管桩2721根，占比43.69%%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b、</w:t>
            </w:r>
            <w:r>
              <w:rPr>
                <w:rFonts w:hint="eastAsia"/>
              </w:rPr>
              <w:t>37#、38#方阵引孔完成85根，累计完成1074根（由于旱挖引孔机容易陷车，改用水挖引孔，机器于7月4号晚运至施工现场），占比17.24%；打桩429根，累计完成975根，占比16.44%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c、厂区支架材料进场2车；d、厂区塘内排水及进桩道路维修；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B、下周主要工作安排：a、GPS桩基放点500个；b、管桩引桩260根桩基，累计占比21.42%，打桩完成220根，累计占比20.14%；c、管桩到货： PHC-300-AB-70-8管桩到货600根，累计占比53.86%，支架预计进场2MWP；d、桩头打磨防腐600个；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C、需要协调问题：无</w:t>
            </w:r>
          </w:p>
          <w:p>
            <w:pPr>
              <w:pStyle w:val="7"/>
              <w:ind w:left="0"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2、四川浩能新能源有限公司：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A、本周主要工作汇报：a、管桩到货：8m混凝土管桩到货172根,占比5.38%；累计到货2118根，累计到货占比80.25%</w:t>
            </w:r>
            <w:r>
              <w:rPr>
                <w:rFonts w:hint="eastAsia"/>
                <w:lang w:val="en-US" w:eastAsia="zh-CN"/>
              </w:rPr>
              <w:t>；7m混凝土管桩到货80根,占比8%；累计到货434根，累计到货占比43.4%</w:t>
            </w:r>
            <w:r>
              <w:rPr>
                <w:rFonts w:hint="eastAsia"/>
                <w:lang w:val="en-US" w:eastAsia="zh-CN"/>
              </w:rPr>
              <w:t>；支架组件到货：本周480W光伏组件到货1车，共计992块，485W光伏组件到货5车，共计4960块，到货容量2880800W,占比13.30%；累计到货容量11512160W；b、桩基础施工：本周42#方阵截桩290根；c、箱变桩基施工：本周完成41#、42#、43#箱变平台基础施工作业；d、支架组件安装：本周41#方阵485W光伏支架组件安装1组，共计安装容量30555W；e、升压站利旧物资吊运；</w:t>
            </w:r>
          </w:p>
          <w:p>
            <w:pPr>
              <w:pStyle w:val="7"/>
              <w:ind w:left="0" w:firstLine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B、下周主要工作安排：a、下周计划桩基放点600点，占比15.75%；b、下周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计划管桩打桩560根桩基，占比14.70%</w:t>
            </w:r>
            <w:r>
              <w:rPr>
                <w:rFonts w:hint="eastAsia"/>
                <w:lang w:val="en-US" w:eastAsia="zh-CN"/>
              </w:rPr>
              <w:t>；c、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下周计划安装光伏支架组件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0.30555MW，占比1.41%</w:t>
            </w:r>
            <w:r>
              <w:rPr>
                <w:rFonts w:hint="eastAsia"/>
                <w:lang w:val="en-US" w:eastAsia="zh-CN"/>
              </w:rPr>
              <w:t>；d、管桩到货：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8米管桩到货300根，占比11.36%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7米到货200根，占比20%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6米到货58根，占比34.31%</w:t>
            </w:r>
            <w:r>
              <w:rPr>
                <w:rFonts w:hint="eastAsia" w:cs="Times New Roman"/>
                <w:lang w:val="en-US"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C、需要协调问题：无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3、广西嘉能电力建设有限公司：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A、本周主要工作汇报：a、#2主变进线间隔设备基础开挖完成30%；b、#2主变进线间隔设备松木桩施工完成50%；c、二次屏柜安装就位完成100%；d、主变构架基础改造完成100%；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B、下周主要工作安排：a、#2 主变进线间隔构架基础开挖及换填；b、#2 主变进线间隔设备基础垫层施工；c、SVG基础拆除，接地变基础开挖；d、二次屏柜到货100%；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C、需要协调问题：无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二、监理单位的要求及安全文明施工：</w:t>
            </w:r>
          </w:p>
          <w:p>
            <w:pPr>
              <w:pStyle w:val="2"/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戚平（电气兼安全）：1、现场做好防暑降温工作，适当的调整作息时间，防止人员中暑；2、做好疫情管控工作，新进人员做好相关信息统计，做好接种情况统计；3、雷雨天气较多，做好相关安全防护，严格按照相关施工方案指导现场作业；4、特种作业人员必须按要求着装，严禁穿短裤凉鞋；5、升压站施工中所产生的建筑垃圾，在每天下班时候及时进行清理；</w:t>
            </w:r>
          </w:p>
          <w:p>
            <w:pPr>
              <w:pStyle w:val="2"/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韩翔雨（资料）1、各单位做好强制性条文执行记录；2、工序资料应与现场施工进度同步</w:t>
            </w:r>
          </w:p>
          <w:p>
            <w:pPr>
              <w:pStyle w:val="2"/>
              <w:numPr>
                <w:ilvl w:val="0"/>
                <w:numId w:val="0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徐存辉（总监代表）：1、每道工序必须先自检合格，然后通知验收，相关资料及时上报，严禁擅自进入下道工序；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现场所用材料必须按照图纸要求进行购买，材料进场必须第一时间进行报验，验收合格后方能卸车进场使用；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9号之前施工人员必须统一着装；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移动脚手架跳板宽度必须大于300MM，≥2米的高度必须系挂安全带；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近期降雨量较多，各标段进度不甚理想，各标段施工单位需改进施工方法和措施，在确保安全及质量的前提下加快进度；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安全月已过，但项目未结束，现场不可马虎大意，仍要加强安全意识，警钟长鸣；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各单位自查报告在8号之前必须完成；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雨季施工必须规范临时用电，严格按照相关规范要求及所报方案指导现场作业；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建设单位提出的意见及会议确定事宜：</w:t>
            </w:r>
          </w:p>
          <w:p>
            <w:pPr>
              <w:pStyle w:val="2"/>
              <w:numPr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赵兵（光伏区施工管理及土建专工）：1、下月组件发货20MW，1标接收15MW，2标接收5MW，收什么型号装什么型号，最后在竣工图体现；2、管桩收货加强；3、支架发货较为迟缓，业主单位给厂家联系；4、集电线路规划后续沟通；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张杰（升压站施工管理及电气专工）：1、升压站土建进度需要加快；2、主变8月12日完成，箱变基础抓紧时间；3、所有的甲供物资，有什么需要调整的提前沟通，7月15日之前高压电缆进场；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陈坚（项目经理）：1、质检验收数据统一；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2、质检完成之后资料回收至升压站会议室；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3、进度较为滞后，要求各标段在确保安全及质量的前提下争抢进度，7月重点集电线路，8月电气施工全面铺开；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4、组件到货后进行试安装；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5、人员接种疫苗需要做好统计；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6、安全月做好总结闭环；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主送单位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钦州通威惠金新能源有限公司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安徽中建富华能源建设有限公司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四川浩能新能源有限公司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 xml:space="preserve"> 广西嘉能电力建设有限公司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发文单位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常州正衡电力工程监理有限公司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发文时间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2021年07月02日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注：会议纪要由监理项目部起草，经总监理工程师签发后下发</w:t>
      </w:r>
    </w:p>
    <w:p>
      <w:pPr>
        <w:spacing w:line="300" w:lineRule="auto"/>
        <w:rPr>
          <w:rFonts w:hint="eastAsia" w:ascii="宋体" w:hAnsi="宋体"/>
          <w:lang w:val="en-US" w:eastAsia="zh-CN"/>
        </w:rPr>
      </w:pP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签  发：</w:t>
      </w: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   </w:t>
      </w:r>
    </w:p>
    <w:p>
      <w:pPr>
        <w:tabs>
          <w:tab w:val="left" w:pos="75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日  期：</w:t>
      </w:r>
    </w:p>
    <w:sectPr>
      <w:pgSz w:w="11906" w:h="16838"/>
      <w:pgMar w:top="1418" w:right="850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353B9"/>
    <w:multiLevelType w:val="singleLevel"/>
    <w:tmpl w:val="34D353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3711F8"/>
    <w:multiLevelType w:val="singleLevel"/>
    <w:tmpl w:val="513711F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E"/>
    <w:rsid w:val="002422B5"/>
    <w:rsid w:val="002675BE"/>
    <w:rsid w:val="00387D6A"/>
    <w:rsid w:val="003E465C"/>
    <w:rsid w:val="0042362E"/>
    <w:rsid w:val="00556CFF"/>
    <w:rsid w:val="005764D0"/>
    <w:rsid w:val="006D5518"/>
    <w:rsid w:val="006E19CF"/>
    <w:rsid w:val="006E3930"/>
    <w:rsid w:val="00737E76"/>
    <w:rsid w:val="007A0962"/>
    <w:rsid w:val="00931DC2"/>
    <w:rsid w:val="00973AF8"/>
    <w:rsid w:val="009D021C"/>
    <w:rsid w:val="00A311DB"/>
    <w:rsid w:val="00AB7F19"/>
    <w:rsid w:val="00BE0ACC"/>
    <w:rsid w:val="00DA2BB7"/>
    <w:rsid w:val="00DD02AC"/>
    <w:rsid w:val="00E948D8"/>
    <w:rsid w:val="00EF7BD4"/>
    <w:rsid w:val="01581EFE"/>
    <w:rsid w:val="03886542"/>
    <w:rsid w:val="05564F2F"/>
    <w:rsid w:val="05692379"/>
    <w:rsid w:val="06341EDB"/>
    <w:rsid w:val="076729D0"/>
    <w:rsid w:val="084D1B55"/>
    <w:rsid w:val="090036FB"/>
    <w:rsid w:val="09286E04"/>
    <w:rsid w:val="0BC026D3"/>
    <w:rsid w:val="0BDB58C0"/>
    <w:rsid w:val="0BFC4FFE"/>
    <w:rsid w:val="0CE65793"/>
    <w:rsid w:val="0D080A9C"/>
    <w:rsid w:val="10BB44B9"/>
    <w:rsid w:val="10E91994"/>
    <w:rsid w:val="1159609C"/>
    <w:rsid w:val="141D3476"/>
    <w:rsid w:val="15292B1D"/>
    <w:rsid w:val="17E962F0"/>
    <w:rsid w:val="197508F0"/>
    <w:rsid w:val="19A31592"/>
    <w:rsid w:val="1B04297E"/>
    <w:rsid w:val="1C2B526F"/>
    <w:rsid w:val="1EB712B7"/>
    <w:rsid w:val="20232FDD"/>
    <w:rsid w:val="20BA165B"/>
    <w:rsid w:val="213F1180"/>
    <w:rsid w:val="23BE036B"/>
    <w:rsid w:val="25064C3F"/>
    <w:rsid w:val="25DA33CA"/>
    <w:rsid w:val="26F12698"/>
    <w:rsid w:val="27A341FF"/>
    <w:rsid w:val="2AC75CAB"/>
    <w:rsid w:val="2BDD0982"/>
    <w:rsid w:val="2CDD25E1"/>
    <w:rsid w:val="2D734AE4"/>
    <w:rsid w:val="2E175DC2"/>
    <w:rsid w:val="2F3C0E09"/>
    <w:rsid w:val="2F762536"/>
    <w:rsid w:val="30217A7B"/>
    <w:rsid w:val="303B16BC"/>
    <w:rsid w:val="30552723"/>
    <w:rsid w:val="30C2329A"/>
    <w:rsid w:val="30F85CEA"/>
    <w:rsid w:val="364A3416"/>
    <w:rsid w:val="375C14FB"/>
    <w:rsid w:val="379C2D15"/>
    <w:rsid w:val="37AD26D8"/>
    <w:rsid w:val="38375D75"/>
    <w:rsid w:val="38717C5A"/>
    <w:rsid w:val="38BD5A95"/>
    <w:rsid w:val="395C7974"/>
    <w:rsid w:val="397E1A29"/>
    <w:rsid w:val="3A217EA6"/>
    <w:rsid w:val="3A932B34"/>
    <w:rsid w:val="3B9737BE"/>
    <w:rsid w:val="3BA61426"/>
    <w:rsid w:val="3DAD5079"/>
    <w:rsid w:val="41322769"/>
    <w:rsid w:val="42C812C6"/>
    <w:rsid w:val="44297EBB"/>
    <w:rsid w:val="44B301B9"/>
    <w:rsid w:val="456024E7"/>
    <w:rsid w:val="461F44A0"/>
    <w:rsid w:val="4686565A"/>
    <w:rsid w:val="47253F47"/>
    <w:rsid w:val="47AA327D"/>
    <w:rsid w:val="48B92914"/>
    <w:rsid w:val="4AF54CB7"/>
    <w:rsid w:val="4B5B0D98"/>
    <w:rsid w:val="4B8C5A65"/>
    <w:rsid w:val="4C3E20FF"/>
    <w:rsid w:val="4C7C3349"/>
    <w:rsid w:val="4D2F318E"/>
    <w:rsid w:val="4EAD596E"/>
    <w:rsid w:val="4EED5B9F"/>
    <w:rsid w:val="4F9C7FE2"/>
    <w:rsid w:val="504D38F5"/>
    <w:rsid w:val="50776C67"/>
    <w:rsid w:val="51A653A8"/>
    <w:rsid w:val="522576C2"/>
    <w:rsid w:val="52981095"/>
    <w:rsid w:val="53AE2ABE"/>
    <w:rsid w:val="53B10254"/>
    <w:rsid w:val="55CE018D"/>
    <w:rsid w:val="573D1AFA"/>
    <w:rsid w:val="578B0A60"/>
    <w:rsid w:val="57C166C9"/>
    <w:rsid w:val="58B52CB9"/>
    <w:rsid w:val="59F900AC"/>
    <w:rsid w:val="59FF20C5"/>
    <w:rsid w:val="5AF3279F"/>
    <w:rsid w:val="5BDE7701"/>
    <w:rsid w:val="5E24799B"/>
    <w:rsid w:val="5E5B1F45"/>
    <w:rsid w:val="5EF56494"/>
    <w:rsid w:val="60825CD8"/>
    <w:rsid w:val="62137703"/>
    <w:rsid w:val="62627A08"/>
    <w:rsid w:val="646F5BD9"/>
    <w:rsid w:val="648F67E5"/>
    <w:rsid w:val="652E7606"/>
    <w:rsid w:val="653571F0"/>
    <w:rsid w:val="6567559D"/>
    <w:rsid w:val="66E116DE"/>
    <w:rsid w:val="68ED4718"/>
    <w:rsid w:val="697A0C5A"/>
    <w:rsid w:val="6D210C1F"/>
    <w:rsid w:val="6D635AFF"/>
    <w:rsid w:val="6E832E47"/>
    <w:rsid w:val="6F3C48B1"/>
    <w:rsid w:val="6FF77EBC"/>
    <w:rsid w:val="70634C6C"/>
    <w:rsid w:val="710D0345"/>
    <w:rsid w:val="721B3F7A"/>
    <w:rsid w:val="72412DE6"/>
    <w:rsid w:val="73541EB0"/>
    <w:rsid w:val="73760D91"/>
    <w:rsid w:val="78E32723"/>
    <w:rsid w:val="79213F37"/>
    <w:rsid w:val="7955114A"/>
    <w:rsid w:val="7DC87380"/>
    <w:rsid w:val="7EBD2677"/>
    <w:rsid w:val="7EC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宋体" w:hAnsi="宋体"/>
      <w:sz w:val="3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spacing w:after="120" w:line="312" w:lineRule="atLeast"/>
      <w:ind w:left="420" w:firstLine="420" w:firstLineChars="0"/>
      <w:textAlignment w:val="baseline"/>
    </w:pPr>
    <w:rPr>
      <w:rFonts w:ascii="Times New Roman" w:hAnsi="Times New Roman"/>
      <w:kern w:val="0"/>
      <w:sz w:val="21"/>
      <w:szCs w:val="21"/>
    </w:rPr>
  </w:style>
  <w:style w:type="character" w:customStyle="1" w:styleId="10">
    <w:name w:val="标题 3 字符"/>
    <w:basedOn w:val="9"/>
    <w:link w:val="3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61</TotalTime>
  <ScaleCrop>false</ScaleCrop>
  <LinksUpToDate>false</LinksUpToDate>
  <CharactersWithSpaces>1083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青 常</dc:creator>
  <cp:lastModifiedBy>啦啦啦</cp:lastModifiedBy>
  <cp:lastPrinted>2020-04-26T07:27:00Z</cp:lastPrinted>
  <dcterms:modified xsi:type="dcterms:W3CDTF">2021-07-02T09:00:27Z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1C90939C67A7415AABAD96F358E923C5</vt:lpwstr>
  </property>
</Properties>
</file>