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rPr>
          <w:kern w:val="2"/>
        </w:rPr>
      </w:pPr>
    </w:p>
    <w:p>
      <w:pPr>
        <w:pStyle w:val="9"/>
        <w:rPr>
          <w:sz w:val="32"/>
          <w:szCs w:val="32"/>
        </w:rPr>
      </w:pPr>
      <w:r>
        <w:rPr>
          <w:sz w:val="32"/>
          <w:szCs w:val="32"/>
        </w:rPr>
        <w:t>会议纪要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ascii="宋体" w:hAnsi="宋体" w:cs="宋体"/>
          <w:b w:val="0"/>
          <w:bCs w:val="0"/>
          <w:sz w:val="24"/>
          <w:szCs w:val="24"/>
        </w:rPr>
      </w:pP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工程名称：</w:t>
      </w:r>
      <w:r>
        <w:rPr>
          <w:rFonts w:hint="eastAsia"/>
          <w:sz w:val="24"/>
          <w:szCs w:val="24"/>
        </w:rPr>
        <w:t>浙江嘉善天凝镇综合智慧零碳电厂项目（一期）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 xml:space="preserve"> 编号：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  <w:lang w:val="en-US" w:eastAsia="zh-CN"/>
        </w:rPr>
        <w:t>ZJJS</w:t>
      </w:r>
      <w:r>
        <w:rPr>
          <w:rFonts w:hint="eastAsia" w:ascii="宋体" w:hAnsi="宋体" w:cs="宋体"/>
          <w:b w:val="0"/>
          <w:bCs w:val="0"/>
          <w:kern w:val="21"/>
          <w:sz w:val="24"/>
          <w:szCs w:val="24"/>
        </w:rPr>
        <w:t>-ZHJL-HY-001</w:t>
      </w:r>
    </w:p>
    <w:p>
      <w:pPr>
        <w:pStyle w:val="3"/>
        <w:rPr>
          <w:kern w:val="21"/>
          <w:sz w:val="24"/>
          <w:szCs w:val="24"/>
        </w:rPr>
      </w:pPr>
      <w:r>
        <w:rPr>
          <w:rFonts w:hint="eastAsia"/>
          <w:kern w:val="21"/>
          <w:sz w:val="24"/>
          <w:szCs w:val="24"/>
        </w:rPr>
        <w:t xml:space="preserve">                                         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</w:t>
      </w:r>
      <w:r>
        <w:rPr>
          <w:rFonts w:hint="eastAsia"/>
          <w:kern w:val="21"/>
          <w:sz w:val="24"/>
          <w:szCs w:val="24"/>
        </w:rPr>
        <w:t xml:space="preserve">签发：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6"/>
        <w:tblW w:w="950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85" w:type="dxa"/>
          <w:bottom w:w="57" w:type="dxa"/>
          <w:right w:w="85" w:type="dxa"/>
        </w:tblCellMar>
      </w:tblPr>
      <w:tblGrid>
        <w:gridCol w:w="2599"/>
        <w:gridCol w:w="578"/>
        <w:gridCol w:w="2281"/>
        <w:gridCol w:w="743"/>
        <w:gridCol w:w="960"/>
        <w:gridCol w:w="474"/>
        <w:gridCol w:w="187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607" w:hRule="atLeast"/>
          <w:jc w:val="center"/>
        </w:trPr>
        <w:tc>
          <w:tcPr>
            <w:tcW w:w="317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会议地点</w:t>
            </w:r>
          </w:p>
        </w:tc>
        <w:tc>
          <w:tcPr>
            <w:tcW w:w="2281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上电元睿项目部</w:t>
            </w:r>
          </w:p>
        </w:tc>
        <w:tc>
          <w:tcPr>
            <w:tcW w:w="170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会议时间</w:t>
            </w:r>
          </w:p>
        </w:tc>
        <w:tc>
          <w:tcPr>
            <w:tcW w:w="234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年0</w:t>
            </w:r>
            <w:r>
              <w:rPr>
                <w:rFonts w:hint="eastAsia"/>
                <w:sz w:val="24"/>
                <w:lang w:val="en-US" w:eastAsia="zh-CN"/>
              </w:rPr>
              <w:t>7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  <w:lang w:val="en-US" w:eastAsia="zh-CN"/>
              </w:rPr>
              <w:t>03</w:t>
            </w:r>
            <w:r>
              <w:rPr>
                <w:rFonts w:hint="eastAsia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3177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会议主持人</w:t>
            </w:r>
          </w:p>
        </w:tc>
        <w:tc>
          <w:tcPr>
            <w:tcW w:w="6331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ind w:firstLine="1200" w:firstLineChars="500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韩卫辉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385" w:hRule="atLeast"/>
          <w:jc w:val="center"/>
        </w:trPr>
        <w:tc>
          <w:tcPr>
            <w:tcW w:w="9508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sz w:val="24"/>
              </w:rPr>
              <w:t>会议主题：</w:t>
            </w:r>
            <w:r>
              <w:rPr>
                <w:rFonts w:hint="eastAsia"/>
                <w:sz w:val="24"/>
                <w:lang w:val="en-US" w:eastAsia="zh-CN"/>
              </w:rPr>
              <w:t>1、合同管理2</w:t>
            </w:r>
            <w:r>
              <w:rPr>
                <w:rFonts w:hint="eastAsia"/>
                <w:sz w:val="24"/>
              </w:rPr>
              <w:t xml:space="preserve">、现场管理 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、施工进度</w:t>
            </w:r>
            <w:r>
              <w:rPr>
                <w:rFonts w:hint="eastAsia"/>
                <w:sz w:val="24"/>
                <w:lang w:val="en-US" w:eastAsia="zh-CN"/>
              </w:rPr>
              <w:t>4</w:t>
            </w:r>
            <w:r>
              <w:rPr>
                <w:rFonts w:hint="eastAsia"/>
                <w:sz w:val="24"/>
              </w:rPr>
              <w:t>、施工资料</w:t>
            </w:r>
            <w:r>
              <w:rPr>
                <w:rFonts w:hint="eastAsia"/>
                <w:sz w:val="24"/>
                <w:lang w:val="en-US" w:eastAsia="zh-CN"/>
              </w:rPr>
              <w:t>、5、</w:t>
            </w:r>
            <w:r>
              <w:rPr>
                <w:rFonts w:hint="eastAsia"/>
                <w:sz w:val="24"/>
              </w:rPr>
              <w:t>现场施工情况等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trHeight w:val="9227" w:hRule="atLeast"/>
          <w:jc w:val="center"/>
        </w:trPr>
        <w:tc>
          <w:tcPr>
            <w:tcW w:w="9508" w:type="dxa"/>
            <w:gridSpan w:val="7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abs>
                <w:tab w:val="left" w:pos="850"/>
              </w:tabs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会议内容</w:t>
            </w:r>
            <w:r>
              <w:rPr>
                <w:rFonts w:hint="eastAsia" w:ascii="宋体" w:hAnsi="宋体" w:cs="宋体"/>
                <w:kern w:val="0"/>
                <w:sz w:val="24"/>
              </w:rPr>
              <w:t>：</w:t>
            </w:r>
          </w:p>
          <w:p>
            <w:pPr>
              <w:tabs>
                <w:tab w:val="left" w:pos="850"/>
              </w:tabs>
              <w:spacing w:line="360" w:lineRule="auto"/>
              <w:ind w:firstLine="480" w:firstLineChars="200"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本次会议由建设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单位</w:t>
            </w:r>
            <w:r>
              <w:rPr>
                <w:rFonts w:hint="eastAsia" w:ascii="宋体" w:hAnsi="宋体" w:cs="宋体"/>
                <w:kern w:val="0"/>
                <w:sz w:val="24"/>
              </w:rPr>
              <w:t>对本工程的总体建设提出有关要求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</w:p>
          <w:p>
            <w:pPr>
              <w:numPr>
                <w:ilvl w:val="0"/>
                <w:numId w:val="1"/>
              </w:num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现场施工人员信息不完善，施工人员一人一档（劳动或劳务合同、保险、职业健康体检证明、安全三级教育及考试、特种作业人员证书等），签订安全协议。</w:t>
            </w:r>
          </w:p>
          <w:p>
            <w:pPr>
              <w:numPr>
                <w:ilvl w:val="0"/>
                <w:numId w:val="1"/>
              </w:num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施工单位项目管理人员组织任命，项目经理、安全管理人员、技术管理人员应具有相应的资格证书。施工单位对现场安全、质量、进度全面负责。审查劳务队伍的资质、设计单位的资质、供应商的资质是否符合要求并报监理单位建设单位审核。</w:t>
            </w:r>
          </w:p>
          <w:p>
            <w:pPr>
              <w:numPr>
                <w:ilvl w:val="0"/>
                <w:numId w:val="1"/>
              </w:num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施工单位工程施工</w:t>
            </w:r>
            <w:r>
              <w:rPr>
                <w:rFonts w:hint="eastAsia" w:ascii="宋体" w:hAnsi="宋体" w:cs="宋体"/>
                <w:kern w:val="0"/>
                <w:sz w:val="24"/>
              </w:rPr>
              <w:t>前期报审资料上报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含四措两案、安全文明施工、专项施工方案、施工机具、工程材料、工程设备等报审，强条施工计划报审。现场分部、分项工程、检验批</w:t>
            </w:r>
            <w:r>
              <w:rPr>
                <w:rFonts w:hint="eastAsia" w:ascii="宋体" w:hAnsi="宋体" w:cs="宋体"/>
                <w:kern w:val="0"/>
                <w:sz w:val="24"/>
              </w:rPr>
              <w:t>过程资料做到与施工同步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。</w:t>
            </w:r>
            <w:r>
              <w:rPr>
                <w:rFonts w:hint="eastAsia"/>
                <w:sz w:val="24"/>
                <w:szCs w:val="24"/>
              </w:rPr>
              <w:t>本月10日前，所有报审资料完整齐全</w:t>
            </w:r>
            <w:r>
              <w:rPr>
                <w:rFonts w:hint="eastAsia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确保按</w:t>
            </w:r>
            <w:r>
              <w:rPr>
                <w:rFonts w:hint="eastAsia" w:ascii="宋体" w:hAnsi="宋体" w:cs="宋体"/>
                <w:kern w:val="0"/>
                <w:sz w:val="24"/>
              </w:rPr>
              <w:t>质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0"/>
                <w:sz w:val="24"/>
              </w:rPr>
              <w:t>按量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cs="宋体"/>
                <w:kern w:val="0"/>
                <w:sz w:val="24"/>
              </w:rPr>
              <w:t>按期，无安全事故。</w:t>
            </w:r>
          </w:p>
          <w:p>
            <w:pPr>
              <w:numPr>
                <w:ilvl w:val="0"/>
                <w:numId w:val="1"/>
              </w:num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施工现场环境要符合安全文明施工，设置五牌一图、施工区域隔离等。</w:t>
            </w:r>
          </w:p>
          <w:p>
            <w:pPr>
              <w:pStyle w:val="2"/>
              <w:numPr>
                <w:ilvl w:val="0"/>
                <w:numId w:val="1"/>
              </w:numPr>
              <w:ind w:left="360" w:leftChars="0" w:firstLine="0" w:firstLineChars="0"/>
              <w:rPr>
                <w:rFonts w:hint="eastAsia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施工单位及时提供施工图纸（蓝图），确保现场严格按图施工。并报监理单位、建设单         位组织图纸会审。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eastAsia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现场土建工程基础是否符合储能柜的安装要求及储能柜的承载力，储能柜体四角支点能否承重自身重量。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施工单位向供货商确认储能柜基础是否符合储能柜安装要求，并有储能柜供应商厂家出具书面材料。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储能柜安装应外观整齐，高度误差小于3mm。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储能柜电缆型号、安装要及现场布置是否合理符合要求。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储能柜供货厂家、品牌不允许第三厂家，不同品牌的设备不允许安装在一个储能线上。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提供储能设备元配件品牌的要求。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EPC总承包单位提供图纸设计的规范、依据。</w:t>
            </w: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通信平台协同建设单位跟进。</w:t>
            </w:r>
          </w:p>
          <w:p>
            <w:pPr>
              <w:pStyle w:val="2"/>
              <w:numPr>
                <w:ilvl w:val="0"/>
                <w:numId w:val="0"/>
              </w:numPr>
              <w:ind w:left="684" w:left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2"/>
              </w:numPr>
              <w:ind w:left="684" w:leftChars="0" w:firstLine="0" w:firstLine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检查储能柜密封、防水要求是否符合要求。</w:t>
            </w:r>
          </w:p>
          <w:p>
            <w:pPr>
              <w:pStyle w:val="2"/>
              <w:numPr>
                <w:ilvl w:val="0"/>
                <w:numId w:val="0"/>
              </w:numPr>
              <w:ind w:left="684" w:leftChars="0"/>
              <w:rPr>
                <w:rFonts w:hint="default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>以上由施工单位提供及跟进协调。</w:t>
            </w:r>
          </w:p>
          <w:p>
            <w:pPr>
              <w:pStyle w:val="2"/>
              <w:rPr>
                <w:rFonts w:ascii="宋体" w:hAnsi="宋体" w:cs="宋体"/>
                <w:bCs/>
                <w:sz w:val="24"/>
              </w:rPr>
            </w:pPr>
            <w:r>
              <w:rPr>
                <w:rFonts w:hint="eastAsia" w:hAnsi="宋体" w:cs="宋体"/>
                <w:kern w:val="0"/>
                <w:sz w:val="24"/>
                <w:lang w:val="en-US" w:eastAsia="zh-CN"/>
              </w:rPr>
              <w:t xml:space="preserve">    </w:t>
            </w:r>
          </w:p>
          <w:p>
            <w:pPr>
              <w:pStyle w:val="13"/>
              <w:numPr>
                <w:ilvl w:val="0"/>
                <w:numId w:val="0"/>
              </w:numPr>
              <w:ind w:left="719" w:leftChars="228" w:hanging="240" w:hangingChars="100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6、工程现场的进度，施工单位</w:t>
            </w:r>
            <w:r>
              <w:rPr>
                <w:rFonts w:hint="eastAsia"/>
                <w:sz w:val="24"/>
                <w:szCs w:val="24"/>
              </w:rPr>
              <w:t>制定切实可行的工程进度计划，对于27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MW</w:t>
            </w:r>
            <w:r>
              <w:rPr>
                <w:rFonts w:hint="eastAsia"/>
                <w:sz w:val="24"/>
                <w:szCs w:val="24"/>
              </w:rPr>
              <w:t>h的工程要有明确的并网计划。</w:t>
            </w:r>
          </w:p>
          <w:p>
            <w:pPr>
              <w:pStyle w:val="13"/>
              <w:ind w:left="718" w:leftChars="342" w:firstLine="0" w:firstLineChars="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进度计划可分三类：一是已经施工的项目，二是准备施工的项目，三是正在洽谈的项目</w:t>
            </w:r>
            <w:r>
              <w:rPr>
                <w:rFonts w:hint="eastAsia"/>
                <w:sz w:val="24"/>
                <w:szCs w:val="24"/>
                <w:lang w:eastAsia="zh-CN"/>
              </w:rPr>
              <w:t>。</w:t>
            </w:r>
          </w:p>
          <w:p>
            <w:pPr>
              <w:pStyle w:val="13"/>
              <w:numPr>
                <w:ilvl w:val="0"/>
                <w:numId w:val="0"/>
              </w:numPr>
              <w:tabs>
                <w:tab w:val="left" w:pos="850"/>
              </w:tabs>
              <w:spacing w:line="360" w:lineRule="auto"/>
              <w:ind w:firstLine="480" w:firstLineChars="200"/>
              <w:jc w:val="left"/>
              <w:rPr>
                <w:rFonts w:hint="default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7、施工单位做出并网施工方案、电缆及桥架施工方案。</w:t>
            </w:r>
          </w:p>
          <w:p>
            <w:pPr>
              <w:pStyle w:val="13"/>
              <w:numPr>
                <w:ilvl w:val="0"/>
                <w:numId w:val="0"/>
              </w:numPr>
              <w:tabs>
                <w:tab w:val="left" w:pos="850"/>
              </w:tabs>
              <w:spacing w:line="360" w:lineRule="auto"/>
              <w:ind w:firstLine="480" w:firstLineChars="200"/>
              <w:jc w:val="left"/>
              <w:rPr>
                <w:rFonts w:hint="eastAsia"/>
                <w:sz w:val="28"/>
                <w:szCs w:val="28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8、2023.7.15-2023.7.17并网，每个子项目完成，竣工图同步。</w:t>
            </w:r>
          </w:p>
          <w:p>
            <w:pPr>
              <w:pStyle w:val="13"/>
              <w:numPr>
                <w:ilvl w:val="0"/>
                <w:numId w:val="0"/>
              </w:numPr>
              <w:tabs>
                <w:tab w:val="left" w:pos="850"/>
              </w:tabs>
              <w:spacing w:line="360" w:lineRule="auto"/>
              <w:ind w:firstLine="480" w:firstLineChars="200"/>
              <w:jc w:val="left"/>
              <w:rPr>
                <w:rFonts w:hint="default" w:ascii="宋体" w:hAnsi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9、</w:t>
            </w:r>
            <w:r>
              <w:rPr>
                <w:rFonts w:hint="eastAsia"/>
                <w:sz w:val="24"/>
                <w:szCs w:val="24"/>
              </w:rPr>
              <w:t>高温季节施工，要编制高温施工专项方案、应急预案和现场处置方案</w:t>
            </w:r>
            <w:r>
              <w:rPr>
                <w:rFonts w:hint="eastAsia"/>
                <w:sz w:val="28"/>
                <w:szCs w:val="28"/>
              </w:rPr>
              <w:t>。</w:t>
            </w:r>
          </w:p>
          <w:p>
            <w:pPr>
              <w:pStyle w:val="13"/>
              <w:numPr>
                <w:ilvl w:val="0"/>
                <w:numId w:val="0"/>
              </w:num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tabs>
                <w:tab w:val="left" w:pos="850"/>
              </w:tabs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59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主送单位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spacing w:line="360" w:lineRule="auto"/>
              <w:ind w:left="1680" w:hanging="1680" w:hangingChars="700"/>
              <w:rPr>
                <w:sz w:val="24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59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抄送单位</w:t>
            </w:r>
          </w:p>
        </w:tc>
        <w:tc>
          <w:tcPr>
            <w:tcW w:w="6909" w:type="dxa"/>
            <w:gridSpan w:val="6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left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 w:ascii="等线" w:hAnsi="等线" w:eastAsia="等线" w:cs="宋体"/>
                <w:kern w:val="0"/>
                <w:sz w:val="22"/>
                <w:lang w:val="en-US" w:eastAsia="zh-CN"/>
              </w:rPr>
              <w:t>浙江上电元睿</w:t>
            </w:r>
            <w:r>
              <w:rPr>
                <w:rFonts w:hint="eastAsia" w:ascii="等线" w:hAnsi="等线" w:eastAsia="等线" w:cs="宋体"/>
                <w:kern w:val="0"/>
                <w:sz w:val="22"/>
                <w:lang w:eastAsia="zh-CN"/>
              </w:rPr>
              <w:t>新能源</w:t>
            </w:r>
            <w:r>
              <w:rPr>
                <w:rFonts w:hint="eastAsia" w:ascii="等线" w:hAnsi="等线" w:eastAsia="等线" w:cs="宋体"/>
                <w:kern w:val="0"/>
                <w:sz w:val="22"/>
                <w:lang w:val="en-US" w:eastAsia="zh-CN"/>
              </w:rPr>
              <w:t>科技</w:t>
            </w:r>
            <w:r>
              <w:rPr>
                <w:rFonts w:hint="eastAsia" w:ascii="等线" w:hAnsi="等线" w:eastAsia="等线" w:cs="宋体"/>
                <w:kern w:val="0"/>
                <w:sz w:val="2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85" w:type="dxa"/>
            <w:bottom w:w="57" w:type="dxa"/>
            <w:right w:w="85" w:type="dxa"/>
          </w:tblCellMar>
        </w:tblPrEx>
        <w:trPr>
          <w:jc w:val="center"/>
        </w:trPr>
        <w:tc>
          <w:tcPr>
            <w:tcW w:w="259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发文单位</w:t>
            </w:r>
          </w:p>
        </w:tc>
        <w:tc>
          <w:tcPr>
            <w:tcW w:w="3602" w:type="dxa"/>
            <w:gridSpan w:val="3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sz w:val="24"/>
              </w:rPr>
            </w:pPr>
            <w:r>
              <w:rPr>
                <w:rFonts w:hint="eastAsia"/>
                <w:sz w:val="24"/>
              </w:rPr>
              <w:t>常州正衡电力工程监理有限公司</w:t>
            </w:r>
          </w:p>
        </w:tc>
        <w:tc>
          <w:tcPr>
            <w:tcW w:w="143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sz w:val="24"/>
              </w:rPr>
            </w:pPr>
            <w:r>
              <w:rPr>
                <w:sz w:val="24"/>
              </w:rPr>
              <w:t>发文时间</w:t>
            </w:r>
          </w:p>
        </w:tc>
        <w:tc>
          <w:tcPr>
            <w:tcW w:w="1873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202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.0</w:t>
            </w:r>
            <w:r>
              <w:rPr>
                <w:rFonts w:hint="eastAsia"/>
                <w:sz w:val="24"/>
                <w:lang w:val="en-US" w:eastAsia="zh-CN"/>
              </w:rPr>
              <w:t>7</w:t>
            </w:r>
            <w:r>
              <w:rPr>
                <w:rFonts w:hint="eastAsia"/>
                <w:sz w:val="24"/>
              </w:rPr>
              <w:t>.</w:t>
            </w:r>
            <w:r>
              <w:rPr>
                <w:rFonts w:hint="eastAsia"/>
                <w:sz w:val="24"/>
                <w:lang w:val="en-US" w:eastAsia="zh-CN"/>
              </w:rPr>
              <w:t>04</w:t>
            </w:r>
          </w:p>
        </w:tc>
      </w:tr>
    </w:tbl>
    <w:p>
      <w:pPr>
        <w:topLinePunct/>
        <w:ind w:left="1168" w:hanging="811"/>
        <w:rPr>
          <w:sz w:val="24"/>
        </w:rPr>
      </w:pPr>
      <w:r>
        <w:rPr>
          <w:rFonts w:hint="eastAsia" w:eastAsia="黑体"/>
          <w:sz w:val="24"/>
        </w:rPr>
        <w:t>注</w:t>
      </w:r>
      <w:r>
        <w:rPr>
          <w:rFonts w:hint="eastAsia"/>
          <w:sz w:val="24"/>
        </w:rPr>
        <w:t xml:space="preserve">  会议纪要由监理项目部起草，经总监理工程师签发后下发。</w:t>
      </w:r>
    </w:p>
    <w:p>
      <w:pPr>
        <w:pStyle w:val="9"/>
      </w:pPr>
    </w:p>
    <w:p>
      <w:pPr>
        <w:pStyle w:val="9"/>
        <w:rPr>
          <w:rFonts w:ascii="宋体" w:hAnsi="宋体" w:eastAsia="宋体"/>
          <w:b/>
          <w:bCs/>
          <w:sz w:val="24"/>
        </w:rPr>
      </w:pPr>
    </w:p>
    <w:p/>
    <w:sectPr>
      <w:pgSz w:w="11906" w:h="16838"/>
      <w:pgMar w:top="1440" w:right="1179" w:bottom="1440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BB1F4DE"/>
    <w:multiLevelType w:val="singleLevel"/>
    <w:tmpl w:val="2BB1F4DE"/>
    <w:lvl w:ilvl="0" w:tentative="0">
      <w:start w:val="1"/>
      <w:numFmt w:val="decimal"/>
      <w:suff w:val="nothing"/>
      <w:lvlText w:val="%1、"/>
      <w:lvlJc w:val="left"/>
      <w:pPr>
        <w:ind w:left="360" w:firstLine="0"/>
      </w:pPr>
    </w:lvl>
  </w:abstractNum>
  <w:abstractNum w:abstractNumId="1">
    <w:nsid w:val="5ED19E56"/>
    <w:multiLevelType w:val="singleLevel"/>
    <w:tmpl w:val="5ED19E56"/>
    <w:lvl w:ilvl="0" w:tentative="0">
      <w:start w:val="1"/>
      <w:numFmt w:val="decimal"/>
      <w:suff w:val="space"/>
      <w:lvlText w:val="%1）"/>
      <w:lvlJc w:val="left"/>
      <w:pPr>
        <w:ind w:left="684" w:leftChars="0" w:firstLine="0" w:firstLineChars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Dc3YWVlZGRhMGM4OTdlODBmZjlkN2I2NWExMGMyZTgifQ=="/>
  </w:docVars>
  <w:rsids>
    <w:rsidRoot w:val="00DD2FED"/>
    <w:rsid w:val="00053CF0"/>
    <w:rsid w:val="00063BE1"/>
    <w:rsid w:val="0015237E"/>
    <w:rsid w:val="00164323"/>
    <w:rsid w:val="003308E9"/>
    <w:rsid w:val="004F3136"/>
    <w:rsid w:val="005C3F4E"/>
    <w:rsid w:val="00733B88"/>
    <w:rsid w:val="0088742D"/>
    <w:rsid w:val="008A1A5A"/>
    <w:rsid w:val="008F383B"/>
    <w:rsid w:val="00A71304"/>
    <w:rsid w:val="00AC137C"/>
    <w:rsid w:val="00B4651A"/>
    <w:rsid w:val="00C54C17"/>
    <w:rsid w:val="00D210F4"/>
    <w:rsid w:val="00D22C82"/>
    <w:rsid w:val="00D249AA"/>
    <w:rsid w:val="00DB37AC"/>
    <w:rsid w:val="00DD2FED"/>
    <w:rsid w:val="00ED6BEC"/>
    <w:rsid w:val="00FE2311"/>
    <w:rsid w:val="01337700"/>
    <w:rsid w:val="044F0706"/>
    <w:rsid w:val="05813F59"/>
    <w:rsid w:val="09D5209A"/>
    <w:rsid w:val="0CC11280"/>
    <w:rsid w:val="19D523F4"/>
    <w:rsid w:val="1A394FA1"/>
    <w:rsid w:val="1E9D7E2F"/>
    <w:rsid w:val="1FF95298"/>
    <w:rsid w:val="217303BC"/>
    <w:rsid w:val="21814AD6"/>
    <w:rsid w:val="21F0208C"/>
    <w:rsid w:val="23B46BA0"/>
    <w:rsid w:val="2C755D01"/>
    <w:rsid w:val="2EC608A4"/>
    <w:rsid w:val="2F994F89"/>
    <w:rsid w:val="314B5C21"/>
    <w:rsid w:val="348848E3"/>
    <w:rsid w:val="353F5454"/>
    <w:rsid w:val="35CD4314"/>
    <w:rsid w:val="36D63330"/>
    <w:rsid w:val="429E6503"/>
    <w:rsid w:val="48B517D4"/>
    <w:rsid w:val="4ADC2466"/>
    <w:rsid w:val="4D86430B"/>
    <w:rsid w:val="51A06744"/>
    <w:rsid w:val="548F6DAB"/>
    <w:rsid w:val="57610DCC"/>
    <w:rsid w:val="58B7254E"/>
    <w:rsid w:val="59304B95"/>
    <w:rsid w:val="5BB62171"/>
    <w:rsid w:val="60046796"/>
    <w:rsid w:val="60DC5EC9"/>
    <w:rsid w:val="614E271D"/>
    <w:rsid w:val="61C36048"/>
    <w:rsid w:val="629D23A6"/>
    <w:rsid w:val="65A72838"/>
    <w:rsid w:val="65CC5529"/>
    <w:rsid w:val="676D2EA8"/>
    <w:rsid w:val="69CB61DD"/>
    <w:rsid w:val="6B8377D9"/>
    <w:rsid w:val="6B8D5196"/>
    <w:rsid w:val="6D955BFC"/>
    <w:rsid w:val="70714315"/>
    <w:rsid w:val="71B93564"/>
    <w:rsid w:val="735F614F"/>
    <w:rsid w:val="73781EF5"/>
    <w:rsid w:val="77052664"/>
    <w:rsid w:val="78184FDF"/>
    <w:rsid w:val="795D123B"/>
    <w:rsid w:val="79B6093A"/>
    <w:rsid w:val="79F336BA"/>
    <w:rsid w:val="7AC91410"/>
    <w:rsid w:val="7C7729A1"/>
    <w:rsid w:val="7E1F6362"/>
    <w:rsid w:val="7EF37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adjustRightInd w:val="0"/>
      <w:snapToGrid w:val="0"/>
      <w:spacing w:line="360" w:lineRule="auto"/>
      <w:jc w:val="center"/>
      <w:outlineLvl w:val="1"/>
    </w:pPr>
    <w:rPr>
      <w:rFonts w:ascii="Arial" w:hAnsi="Arial" w:cs="Arial"/>
      <w:b/>
      <w:bCs/>
      <w:sz w:val="20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8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9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0">
    <w:name w:val="Char Char Char Char Char Char Char Char Char Char Char Char Char Char Char Char Char Char Char Char Char1 Char Char Char Char Char1 Char Char Char Char"/>
    <w:basedOn w:val="1"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11">
    <w:name w:val="页眉 Char"/>
    <w:basedOn w:val="7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3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83822D-7000-4D76-9AC3-ED8E54E8A55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1006</Words>
  <Characters>1062</Characters>
  <Lines>12</Lines>
  <Paragraphs>3</Paragraphs>
  <TotalTime>6</TotalTime>
  <ScaleCrop>false</ScaleCrop>
  <LinksUpToDate>false</LinksUpToDate>
  <CharactersWithSpaces>1126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2016-12-02T08:04:00Z</dcterms:created>
  <dc:creator>20160730</dc:creator>
  <cp:lastModifiedBy>WPS_1624587906</cp:lastModifiedBy>
  <cp:lastPrinted>2018-06-15T14:43:00Z</cp:lastPrinted>
  <dcterms:modified xsi:type="dcterms:W3CDTF">2023-07-11T06:27:11Z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8F8074DFDE5146688302691AD02AD713</vt:lpwstr>
  </property>
</Properties>
</file>