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opLinePunct/>
        <w:jc w:val="left"/>
        <w:outlineLvl w:val="0"/>
        <w:rPr>
          <w:rFonts w:hint="default" w:ascii="仿宋_GB2312" w:hAnsi="仿宋_GB2312" w:eastAsia="仿宋_GB2312" w:cs="仿宋_GB2312"/>
          <w:color w:val="000000"/>
          <w:kern w:val="21"/>
          <w:sz w:val="36"/>
          <w:szCs w:val="36"/>
          <w:lang w:val="en-US"/>
        </w:rPr>
      </w:pPr>
      <w:bookmarkStart w:id="0" w:name="_Toc1288"/>
    </w:p>
    <w:p>
      <w:pPr>
        <w:topLinePunct/>
        <w:jc w:val="left"/>
        <w:outlineLvl w:val="0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default" w:ascii="仿宋_GB2312" w:hAnsi="仿宋_GB2312" w:eastAsia="仿宋_GB2312" w:cs="仿宋_GB2312"/>
          <w:color w:val="000000"/>
          <w:kern w:val="21"/>
          <w:sz w:val="36"/>
          <w:szCs w:val="36"/>
          <w:lang w:val="en-US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永靖县十四五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盐锅峡"光伏发电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项目</w:t>
      </w:r>
    </w:p>
    <w:p>
      <w:pPr>
        <w:topLinePunct/>
        <w:ind w:firstLine="2530" w:firstLineChars="900"/>
        <w:jc w:val="both"/>
        <w:outlineLvl w:val="0"/>
        <w:rPr>
          <w:rFonts w:hint="eastAsia" w:ascii="仿宋_GB2312" w:hAnsi="仿宋_GB2312" w:eastAsia="仿宋_GB2312" w:cs="仿宋_GB2312"/>
          <w:sz w:val="21"/>
          <w:szCs w:val="21"/>
          <w:lang w:val="en-US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笫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33</w:t>
      </w:r>
      <w:r>
        <w:rPr>
          <w:rFonts w:hint="default" w:ascii="仿宋_GB2312" w:hAnsi="仿宋_GB2312" w:eastAsia="仿宋_GB2312" w:cs="仿宋_GB2312"/>
          <w:b/>
          <w:bCs/>
          <w:sz w:val="28"/>
          <w:szCs w:val="28"/>
          <w:lang w:val="en-US"/>
        </w:rPr>
        <w:t>次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监理例会会议纪要</w:t>
      </w:r>
      <w:bookmarkEnd w:id="0"/>
      <w:r>
        <w:rPr>
          <w:rFonts w:hint="eastAsia" w:ascii="仿宋_GB2312" w:hAnsi="仿宋_GB2312" w:eastAsia="仿宋_GB2312" w:cs="仿宋_GB2312"/>
          <w:sz w:val="21"/>
          <w:szCs w:val="21"/>
          <w:lang w:val="en-US"/>
        </w:rPr>
        <w:t xml:space="preserve">    </w:t>
      </w:r>
    </w:p>
    <w:p>
      <w:pPr>
        <w:topLinePunct/>
        <w:ind w:firstLine="210" w:firstLineChars="100"/>
        <w:jc w:val="left"/>
        <w:outlineLvl w:val="0"/>
        <w:rPr>
          <w:rFonts w:hint="eastAsia" w:ascii="仿宋_GB2312" w:hAnsi="仿宋_GB2312" w:eastAsia="仿宋_GB2312" w:cs="仿宋_GB2312"/>
          <w:sz w:val="21"/>
          <w:szCs w:val="21"/>
        </w:rPr>
      </w:pPr>
    </w:p>
    <w:p>
      <w:pPr>
        <w:topLinePunct/>
        <w:ind w:firstLine="210" w:firstLineChars="100"/>
        <w:jc w:val="left"/>
        <w:outlineLvl w:val="0"/>
        <w:rPr>
          <w:rFonts w:hint="eastAsia" w:ascii="仿宋_GB2312" w:hAnsi="仿宋_GB2312" w:eastAsia="仿宋_GB2312" w:cs="仿宋_GB2312"/>
          <w:sz w:val="21"/>
          <w:szCs w:val="21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编号：</w:t>
      </w:r>
      <w:r>
        <w:rPr>
          <w:rFonts w:hint="default" w:ascii="仿宋_GB2312" w:hAnsi="仿宋_GB2312" w:eastAsia="仿宋_GB2312" w:cs="仿宋_GB2312"/>
          <w:sz w:val="21"/>
          <w:szCs w:val="21"/>
          <w:lang w:val="en-US"/>
        </w:rPr>
        <w:t>YJYGX-ZHJL-HYJY-</w:t>
      </w:r>
      <w:r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  <w:t>33</w:t>
      </w:r>
      <w:r>
        <w:rPr>
          <w:rFonts w:hint="eastAsia" w:ascii="仿宋_GB2312" w:hAnsi="仿宋_GB2312" w:eastAsia="仿宋_GB2312" w:cs="仿宋_GB2312"/>
          <w:sz w:val="21"/>
          <w:szCs w:val="21"/>
          <w:lang w:val="en-US"/>
        </w:rPr>
        <w:t xml:space="preserve">                     </w:t>
      </w:r>
      <w:r>
        <w:rPr>
          <w:rFonts w:hint="default" w:ascii="仿宋_GB2312" w:hAnsi="仿宋_GB2312" w:eastAsia="仿宋_GB2312" w:cs="仿宋_GB2312"/>
          <w:sz w:val="21"/>
          <w:szCs w:val="21"/>
          <w:lang w:val="en-US"/>
        </w:rPr>
        <w:t xml:space="preserve">         </w:t>
      </w:r>
      <w:r>
        <w:rPr>
          <w:rFonts w:hint="eastAsia" w:ascii="仿宋_GB2312" w:hAnsi="仿宋_GB2312" w:eastAsia="仿宋_GB2312" w:cs="仿宋_GB2312"/>
          <w:sz w:val="21"/>
          <w:szCs w:val="21"/>
        </w:rPr>
        <w:t xml:space="preserve"> 签发</w:t>
      </w:r>
      <w:r>
        <w:rPr>
          <w:rFonts w:hint="eastAsia" w:ascii="仿宋_GB2312" w:hAnsi="仿宋_GB2312" w:eastAsia="仿宋_GB2312" w:cs="仿宋_GB2312"/>
          <w:sz w:val="21"/>
          <w:szCs w:val="21"/>
          <w:lang w:eastAsia="zh-CN"/>
        </w:rPr>
        <w:t>：</w:t>
      </w:r>
    </w:p>
    <w:tbl>
      <w:tblPr>
        <w:tblStyle w:val="15"/>
        <w:tblpPr w:leftFromText="180" w:rightFromText="180" w:vertAnchor="text" w:horzAnchor="page" w:tblpX="1032" w:tblpY="93"/>
        <w:tblOverlap w:val="never"/>
        <w:tblW w:w="10485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45"/>
        <w:gridCol w:w="1363"/>
        <w:gridCol w:w="3399"/>
        <w:gridCol w:w="1321"/>
        <w:gridCol w:w="195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2445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会议地点</w:t>
            </w:r>
          </w:p>
        </w:tc>
        <w:tc>
          <w:tcPr>
            <w:tcW w:w="476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pacing w:val="4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项目会议室</w:t>
            </w:r>
          </w:p>
        </w:tc>
        <w:tc>
          <w:tcPr>
            <w:tcW w:w="1321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会议时间</w:t>
            </w:r>
          </w:p>
        </w:tc>
        <w:tc>
          <w:tcPr>
            <w:tcW w:w="195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pacing w:val="4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45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会议主持人</w:t>
            </w:r>
          </w:p>
        </w:tc>
        <w:tc>
          <w:tcPr>
            <w:tcW w:w="804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b/>
                <w:spacing w:val="4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pacing w:val="40"/>
                <w:sz w:val="24"/>
                <w:szCs w:val="24"/>
                <w:lang w:val="en-US" w:eastAsia="zh-CN"/>
              </w:rPr>
              <w:t>胡斌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10485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before="120" w:after="6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会议主题：</w:t>
            </w:r>
          </w:p>
          <w:p>
            <w:pPr>
              <w:spacing w:before="120" w:after="60"/>
              <w:ind w:firstLine="1680" w:firstLineChars="7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会议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关于工程质量、进度、安全会议。</w:t>
            </w:r>
          </w:p>
          <w:p>
            <w:pPr>
              <w:spacing w:before="60" w:after="60"/>
              <w:rPr>
                <w:rFonts w:hint="eastAsia" w:ascii="仿宋_GB2312" w:hAnsi="仿宋_GB2312" w:eastAsia="仿宋_GB2312" w:cs="仿宋_GB2312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/>
              </w:rPr>
              <w:t xml:space="preserve">    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9" w:hRule="atLeast"/>
        </w:trPr>
        <w:tc>
          <w:tcPr>
            <w:tcW w:w="10485" w:type="dxa"/>
            <w:gridSpan w:val="5"/>
            <w:tcMar>
              <w:left w:w="0" w:type="dxa"/>
              <w:right w:w="0" w:type="dxa"/>
            </w:tcMar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bCs/>
                <w:sz w:val="24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kern w:val="44"/>
                <w:sz w:val="21"/>
                <w:szCs w:val="18"/>
                <w:lang w:val="en-US" w:eastAsia="zh-CN" w:bidi="ar-SA"/>
              </w:rPr>
              <w:t>一、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2"/>
              </w:rPr>
              <w:t>参加单位及人员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8"/>
              </w:rPr>
              <w:t xml:space="preserve"> </w:t>
            </w:r>
          </w:p>
          <w:p>
            <w:pPr>
              <w:spacing w:line="360" w:lineRule="auto"/>
              <w:ind w:left="0" w:leftChars="0" w:firstLine="418" w:firstLineChars="19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甘肃刘家峡浩博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新能源有限公司（建设单位）</w:t>
            </w:r>
          </w:p>
          <w:p>
            <w:pPr>
              <w:spacing w:line="360" w:lineRule="auto"/>
              <w:ind w:firstLine="420" w:firstLineChars="20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常州正衡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2"/>
                <w:szCs w:val="20"/>
              </w:rPr>
              <w:t>电力工程监理有限公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司（监理单位）</w:t>
            </w:r>
          </w:p>
          <w:p>
            <w:pPr>
              <w:spacing w:before="120" w:after="60"/>
              <w:ind w:left="0" w:leftChars="0" w:firstLine="418" w:firstLineChars="19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上海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电力建设有限责任公司（总承包单位）</w:t>
            </w:r>
          </w:p>
          <w:p>
            <w:pPr>
              <w:spacing w:before="120" w:after="60"/>
              <w:ind w:left="0" w:leftChars="0" w:firstLine="418" w:firstLineChars="19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参会人员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:详见会议签到表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   </w:t>
            </w:r>
          </w:p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 w:val="0"/>
                <w:bCs/>
                <w:sz w:val="2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2"/>
                <w:szCs w:val="21"/>
              </w:rPr>
              <w:t>二</w:t>
            </w:r>
            <w:r>
              <w:rPr>
                <w:rFonts w:hint="eastAsia" w:ascii="楷体" w:hAnsi="楷体" w:eastAsia="楷体" w:cs="楷体"/>
                <w:b/>
                <w:bCs w:val="0"/>
                <w:kern w:val="44"/>
                <w:sz w:val="22"/>
                <w:szCs w:val="20"/>
                <w:lang w:val="en-US" w:eastAsia="zh-CN" w:bidi="ar-SA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 w:val="0"/>
                <w:sz w:val="22"/>
                <w:szCs w:val="21"/>
              </w:rPr>
              <w:t>会议主要内容与决定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2"/>
                <w:szCs w:val="21"/>
              </w:rPr>
              <w:t>：</w:t>
            </w:r>
          </w:p>
          <w:p>
            <w:pPr>
              <w:spacing w:line="360" w:lineRule="auto"/>
              <w:ind w:firstLine="440" w:firstLineChars="20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年11月05日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6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: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 xml:space="preserve"> 常州正衡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2"/>
                <w:szCs w:val="20"/>
              </w:rPr>
              <w:t>电力工程监理有限公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司组织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上海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电力建设有限责任公司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永靖县十四五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“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盐锅峡"光伏发电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项目会议室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2"/>
                <w:szCs w:val="22"/>
                <w:u w:val="none"/>
                <w:lang w:val="en-US" w:eastAsia="zh-CN"/>
              </w:rPr>
              <w:t>视频会议，会议内容及决议如下：</w:t>
            </w:r>
          </w:p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  <w:u w:val="none"/>
                <w:lang w:val="en-US" w:eastAsia="zh-CN"/>
              </w:rPr>
              <w:t>三、总承包汇报施工现场主要人员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0"/>
                <w:szCs w:val="21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  <w:u w:val="none"/>
                <w:lang w:val="en-US" w:eastAsia="zh-CN"/>
              </w:rPr>
              <w:t>机械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0"/>
                <w:szCs w:val="21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auto"/>
                <w:sz w:val="21"/>
                <w:szCs w:val="21"/>
                <w:u w:val="none"/>
                <w:lang w:val="en-US" w:eastAsia="zh-CN"/>
              </w:rPr>
              <w:t>材料进场及施工进度汇报</w:t>
            </w:r>
          </w:p>
          <w:p>
            <w:pPr>
              <w:keepNext/>
              <w:keepLines/>
              <w:pageBreakBefore w:val="0"/>
              <w:numPr>
                <w:ilvl w:val="0"/>
                <w:numId w:val="0"/>
              </w:numPr>
              <w:wordWrap/>
              <w:overflowPunct/>
              <w:topLinePunct w:val="0"/>
              <w:bidi w:val="0"/>
              <w:spacing w:line="360" w:lineRule="auto"/>
              <w:rPr>
                <w:rStyle w:val="25"/>
                <w:rFonts w:hint="default" w:ascii="楷体" w:hAnsi="楷体" w:eastAsia="楷体" w:cs="楷体"/>
                <w:b/>
                <w:kern w:val="44"/>
                <w:sz w:val="24"/>
                <w:szCs w:val="21"/>
                <w:lang w:val="en-US"/>
              </w:rPr>
            </w:pPr>
            <w:r>
              <w:rPr>
                <w:rFonts w:hint="default" w:ascii="楷体" w:hAnsi="楷体" w:eastAsia="楷体" w:cs="楷体"/>
                <w:b/>
                <w:kern w:val="44"/>
                <w:sz w:val="24"/>
                <w:szCs w:val="21"/>
                <w:lang w:val="en-US" w:eastAsia="zh-CN" w:bidi="ar-SA"/>
              </w:rPr>
              <w:t>1</w:t>
            </w:r>
            <w:r>
              <w:rPr>
                <w:rFonts w:hint="eastAsia" w:ascii="楷体" w:hAnsi="楷体" w:eastAsia="楷体" w:cs="楷体"/>
                <w:b/>
                <w:kern w:val="44"/>
                <w:sz w:val="24"/>
                <w:szCs w:val="21"/>
                <w:lang w:val="en-US" w:eastAsia="zh-CN" w:bidi="ar-SA"/>
              </w:rPr>
              <w:t>、</w:t>
            </w:r>
            <w:r>
              <w:rPr>
                <w:rStyle w:val="25"/>
                <w:rFonts w:hint="eastAsia" w:ascii="楷体" w:hAnsi="楷体" w:eastAsia="楷体" w:cs="楷体"/>
                <w:b/>
                <w:kern w:val="44"/>
                <w:sz w:val="24"/>
                <w:szCs w:val="24"/>
                <w:lang w:eastAsia="zh-CN"/>
              </w:rPr>
              <w:t>进</w:t>
            </w:r>
            <w:r>
              <w:rPr>
                <w:rStyle w:val="25"/>
                <w:rFonts w:hint="eastAsia" w:ascii="楷体" w:hAnsi="楷体" w:eastAsia="楷体" w:cs="楷体"/>
                <w:b/>
                <w:kern w:val="44"/>
                <w:sz w:val="24"/>
                <w:szCs w:val="21"/>
              </w:rPr>
              <w:t>场人员、机械情况</w:t>
            </w:r>
            <w:r>
              <w:rPr>
                <w:rStyle w:val="25"/>
                <w:rFonts w:hint="default" w:ascii="楷体" w:hAnsi="楷体" w:eastAsia="楷体" w:cs="楷体"/>
                <w:b/>
                <w:kern w:val="44"/>
                <w:sz w:val="24"/>
                <w:szCs w:val="21"/>
                <w:lang w:val="en-US"/>
              </w:rPr>
              <w:t>: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0" w:firstLine="360" w:firstLineChars="150"/>
              <w:jc w:val="left"/>
              <w:textAlignment w:val="baseline"/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color w:val="000000"/>
                <w:kern w:val="0"/>
                <w:sz w:val="24"/>
                <w:szCs w:val="24"/>
                <w:lang w:val="en-US" w:eastAsia="zh-CN" w:bidi="ar-SA"/>
              </w:rPr>
              <w:t>1</w:t>
            </w:r>
            <w:r>
              <w:rPr>
                <w:rFonts w:hint="default" w:ascii="楷体" w:hAnsi="楷体" w:eastAsia="楷体" w:cs="楷体"/>
                <w:color w:val="000000"/>
                <w:kern w:val="0"/>
                <w:sz w:val="24"/>
                <w:szCs w:val="24"/>
                <w:lang w:val="en-US" w:eastAsia="zh-CN" w:bidi="ar-SA"/>
              </w:rPr>
              <w:t>.1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.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330kv升压站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0" w:firstLine="360" w:firstLineChars="150"/>
              <w:jc w:val="left"/>
              <w:textAlignment w:val="baseline"/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(1)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项目管理人员8人，施工人员</w:t>
            </w:r>
            <w:r>
              <w:rPr>
                <w:rFonts w:hint="eastAsia" w:ascii="楷体" w:hAnsi="楷体" w:eastAsia="楷体" w:cs="楷体"/>
                <w:color w:val="0000FF"/>
                <w:sz w:val="24"/>
                <w:szCs w:val="24"/>
                <w:lang w:val="en-US" w:eastAsia="zh-CN"/>
              </w:rPr>
              <w:t>50人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0" w:firstLine="360" w:firstLineChars="150"/>
              <w:jc w:val="left"/>
              <w:textAlignment w:val="baseline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(2)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自卸车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台，洒水车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台，50装载机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台，压路机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台，挖机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,柴油机打桩机2台,夹杆式夯实机2台,拉直机1台,电焊机3台,状态良好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。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0" w:firstLine="360" w:firstLineChars="150"/>
              <w:jc w:val="left"/>
              <w:textAlignment w:val="baseline"/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1.2.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送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出线路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0" w:firstLine="360" w:firstLineChars="150"/>
              <w:jc w:val="left"/>
              <w:textAlignment w:val="baseline"/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(1)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项目管理人员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人，施工人</w:t>
            </w:r>
            <w:r>
              <w:rPr>
                <w:rFonts w:hint="eastAsia" w:ascii="楷体" w:hAnsi="楷体" w:eastAsia="楷体" w:cs="楷体"/>
                <w:color w:val="0000FF"/>
                <w:sz w:val="24"/>
                <w:szCs w:val="24"/>
                <w:lang w:val="en-US" w:eastAsia="zh-CN"/>
              </w:rPr>
              <w:t>员41人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0" w:firstLine="360" w:firstLineChars="150"/>
              <w:jc w:val="left"/>
              <w:textAlignment w:val="baseline"/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(2)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洒水车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台，50装载机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台，小型挖机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台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,升降机10台,拉直机1台,</w:t>
            </w:r>
            <w:r>
              <w:rPr>
                <w:rFonts w:hint="default" w:ascii="楷体" w:hAnsi="楷体" w:eastAsia="楷体" w:cs="楷体"/>
                <w:b/>
                <w:bCs/>
                <w:sz w:val="24"/>
                <w:szCs w:val="24"/>
                <w:lang w:val="en-US" w:eastAsia="zh-CN"/>
              </w:rPr>
              <w:t>电</w:t>
            </w:r>
            <w:r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  <w:t>焊机3台,状态良好</w:t>
            </w:r>
          </w:p>
          <w:p>
            <w:pPr>
              <w:pStyle w:val="13"/>
              <w:pageBreakBefore w:val="0"/>
              <w:numPr>
                <w:ilvl w:val="0"/>
                <w:numId w:val="0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150"/>
              <w:jc w:val="left"/>
              <w:textAlignment w:val="baseline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1.3光伏区支架及组件安装</w:t>
            </w:r>
          </w:p>
          <w:p>
            <w:pPr>
              <w:pStyle w:val="13"/>
              <w:pageBreakBefore w:val="0"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150"/>
              <w:jc w:val="left"/>
              <w:textAlignment w:val="baseline"/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管理人员10人，施工人员20人；</w:t>
            </w:r>
          </w:p>
          <w:p>
            <w:pPr>
              <w:pStyle w:val="13"/>
              <w:pageBreakBefore w:val="0"/>
              <w:numPr>
                <w:ilvl w:val="0"/>
                <w:numId w:val="3"/>
              </w:numPr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Autospacing="0" w:afterAutospacing="0" w:line="360" w:lineRule="auto"/>
              <w:ind w:leftChars="150"/>
              <w:jc w:val="left"/>
              <w:textAlignment w:val="baseline"/>
              <w:rPr>
                <w:rFonts w:hint="default" w:ascii="楷体" w:hAnsi="楷体" w:eastAsia="楷体" w:cs="楷体"/>
                <w:sz w:val="24"/>
                <w:szCs w:val="24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4"/>
                <w:szCs w:val="24"/>
                <w:lang w:val="en-US" w:eastAsia="zh-CN"/>
              </w:rPr>
              <w:t>装载机2台</w:t>
            </w:r>
          </w:p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sz w:val="24"/>
                <w:szCs w:val="24"/>
                <w:lang w:val="en-US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4"/>
                <w:szCs w:val="24"/>
                <w:lang w:val="en-US" w:eastAsia="zh-CN"/>
              </w:rPr>
              <w:t>工程形象进度及下周计划（根据工程进度表填写）</w:t>
            </w:r>
          </w:p>
          <w:tbl>
            <w:tblPr>
              <w:tblStyle w:val="15"/>
              <w:tblpPr w:leftFromText="180" w:rightFromText="180" w:vertAnchor="text" w:horzAnchor="page" w:tblpX="1865" w:tblpY="265"/>
              <w:tblOverlap w:val="never"/>
              <w:tblW w:w="9061" w:type="dxa"/>
              <w:tblInd w:w="0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none" w:color="auto" w:sz="0" w:space="0"/>
                <w:insideV w:val="none" w:color="auto" w:sz="0" w:space="0"/>
              </w:tblBorders>
              <w:shd w:val="clear" w:color="auto" w:fill="auto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30"/>
              <w:gridCol w:w="1337"/>
              <w:gridCol w:w="1013"/>
              <w:gridCol w:w="1380"/>
              <w:gridCol w:w="1425"/>
              <w:gridCol w:w="1155"/>
              <w:gridCol w:w="1821"/>
            </w:tblGrid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2267" w:type="dxa"/>
                  <w:gridSpan w:val="2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tabs>
                      <w:tab w:val="left" w:pos="268"/>
                      <w:tab w:val="center" w:pos="1251"/>
                    </w:tabs>
                    <w:jc w:val="left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ab/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ab/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工程名称</w:t>
                  </w:r>
                </w:p>
              </w:tc>
              <w:tc>
                <w:tcPr>
                  <w:tcW w:w="1013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总工程量</w:t>
                  </w:r>
                </w:p>
              </w:tc>
              <w:tc>
                <w:tcPr>
                  <w:tcW w:w="1380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本周计划</w:t>
                  </w:r>
                </w:p>
              </w:tc>
              <w:tc>
                <w:tcPr>
                  <w:tcW w:w="1425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本周完成</w:t>
                  </w:r>
                </w:p>
              </w:tc>
              <w:tc>
                <w:tcPr>
                  <w:tcW w:w="1155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累计完成</w:t>
                  </w:r>
                </w:p>
              </w:tc>
              <w:tc>
                <w:tcPr>
                  <w:tcW w:w="1821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ind w:firstLine="316" w:firstLineChars="150"/>
                    <w:jc w:val="both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1"/>
                      <w:szCs w:val="21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1"/>
                      <w:szCs w:val="21"/>
                      <w:u w:val="none"/>
                      <w:lang w:val="en-US" w:eastAsia="zh-CN" w:bidi="ar"/>
                    </w:rPr>
                    <w:t>下周计划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88" w:hRule="atLeast"/>
              </w:trPr>
              <w:tc>
                <w:tcPr>
                  <w:tcW w:w="2267" w:type="dxa"/>
                  <w:gridSpan w:val="2"/>
                  <w:tcBorders>
                    <w:top w:val="single" w:color="000000" w:sz="8" w:space="0"/>
                    <w:left w:val="single" w:color="000000" w:sz="8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0"/>
                      <w:sz w:val="20"/>
                      <w:szCs w:val="20"/>
                      <w:u w:val="none"/>
                      <w:lang w:val="en-US" w:eastAsia="zh-CN" w:bidi="ar"/>
                    </w:rPr>
                    <w:t>道路工程（公里）</w:t>
                  </w:r>
                </w:p>
              </w:tc>
              <w:tc>
                <w:tcPr>
                  <w:tcW w:w="1013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65</w:t>
                  </w:r>
                </w:p>
              </w:tc>
              <w:tc>
                <w:tcPr>
                  <w:tcW w:w="1380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425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155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65</w:t>
                  </w:r>
                </w:p>
              </w:tc>
              <w:tc>
                <w:tcPr>
                  <w:tcW w:w="1821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pStyle w:val="2"/>
                    <w:ind w:left="0" w:leftChars="0" w:firstLine="773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color w:val="auto"/>
                      <w:sz w:val="22"/>
                      <w:szCs w:val="28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color w:val="auto"/>
                      <w:sz w:val="22"/>
                      <w:szCs w:val="28"/>
                      <w:lang w:val="en-US" w:eastAsia="zh-CN"/>
                    </w:rPr>
                    <w:t>0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restart"/>
                  <w:tcBorders>
                    <w:top w:val="single" w:color="000000" w:sz="8" w:space="0"/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  <w:t>光伏区</w:t>
                  </w:r>
                </w:p>
              </w:tc>
              <w:tc>
                <w:tcPr>
                  <w:tcW w:w="1337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基础桩引孔及浇筑</w:t>
                  </w:r>
                </w:p>
              </w:tc>
              <w:tc>
                <w:tcPr>
                  <w:tcW w:w="1013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221140</w:t>
                  </w:r>
                </w:p>
              </w:tc>
              <w:tc>
                <w:tcPr>
                  <w:tcW w:w="1380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425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155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221140</w:t>
                  </w:r>
                </w:p>
              </w:tc>
              <w:tc>
                <w:tcPr>
                  <w:tcW w:w="1821" w:type="dxa"/>
                  <w:tcBorders>
                    <w:top w:val="single" w:color="000000" w:sz="8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803" w:firstLineChars="40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光伏支架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(组)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2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1094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135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90</w:t>
                  </w: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B05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6947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904" w:firstLineChars="45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135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703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703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restart"/>
                  <w:tcBorders>
                    <w:top w:val="single" w:color="auto" w:sz="4" w:space="0"/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both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  <w:t>330KV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  <w:t>升压站区</w:t>
                  </w:r>
                </w:p>
              </w:tc>
              <w:tc>
                <w:tcPr>
                  <w:tcW w:w="1337" w:type="dxa"/>
                  <w:tcBorders>
                    <w:top w:val="single" w:color="auto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山体开挖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 w:eastAsia="zh-CN"/>
                    </w:rPr>
                    <w:t>m3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22552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4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703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201" w:firstLineChars="10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22552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4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703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灰土挤密桩(根)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358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4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7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0</w:t>
                  </w: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33320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主控通信楼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主体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 xml:space="preserve">   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外墙抹灰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主体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主体竣工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FF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変二次室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both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主体结构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内墙抹灰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内墙抹灰</w:t>
                  </w: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主体结构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事故油池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主体结构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回填完成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1"/>
                      <w:szCs w:val="21"/>
                      <w:u w:val="none"/>
                      <w:lang w:val="en-US" w:eastAsia="zh-CN" w:bidi="ar-SA"/>
                    </w:rPr>
                    <w:t>主体结构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构架装置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主体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回填</w:t>
                  </w: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主体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生活水池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全部完成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HGIS配电基础及墙身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ind w:firstLine="452" w:firstLineChars="250"/>
                    <w:jc w:val="both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全部完戓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消防水池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全部完戓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防火墙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全部完戓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52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配电装置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18"/>
                      <w:szCs w:val="18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全部完戓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90" w:hRule="atLeast"/>
              </w:trPr>
              <w:tc>
                <w:tcPr>
                  <w:tcW w:w="930" w:type="dxa"/>
                  <w:tcBorders>
                    <w:top w:val="single" w:color="auto" w:sz="4" w:space="0"/>
                    <w:left w:val="single" w:color="000000" w:sz="8" w:space="0"/>
                    <w:bottom w:val="nil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vMerge w:val="restart"/>
                  <w:tcBorders>
                    <w:top w:val="single" w:color="auto" w:sz="4" w:space="0"/>
                    <w:left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57</w:t>
                  </w:r>
                </w:p>
              </w:tc>
              <w:tc>
                <w:tcPr>
                  <w:tcW w:w="1013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54</w:t>
                  </w:r>
                </w:p>
              </w:tc>
              <w:tc>
                <w:tcPr>
                  <w:tcW w:w="1380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1</w:t>
                  </w:r>
                </w:p>
              </w:tc>
              <w:tc>
                <w:tcPr>
                  <w:tcW w:w="142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pStyle w:val="2"/>
                    <w:ind w:left="0" w:leftChars="0" w:firstLine="422" w:firstLineChars="200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color w:val="auto"/>
                      <w:kern w:val="2"/>
                      <w:sz w:val="21"/>
                      <w:szCs w:val="22"/>
                      <w:lang w:val="en-US" w:eastAsia="zh-CN" w:bidi="ar-SA"/>
                    </w:rPr>
                    <w:t>54</w:t>
                  </w:r>
                </w:p>
              </w:tc>
              <w:tc>
                <w:tcPr>
                  <w:tcW w:w="1155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3</w:t>
                  </w:r>
                </w:p>
              </w:tc>
              <w:tc>
                <w:tcPr>
                  <w:tcW w:w="1821" w:type="dxa"/>
                  <w:vMerge w:val="restart"/>
                  <w:tcBorders>
                    <w:top w:val="single" w:color="000000" w:sz="4" w:space="0"/>
                    <w:left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57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47" w:hRule="atLeast"/>
              </w:trPr>
              <w:tc>
                <w:tcPr>
                  <w:tcW w:w="930" w:type="dxa"/>
                  <w:vMerge w:val="restart"/>
                  <w:tcBorders>
                    <w:top w:val="nil"/>
                    <w:left w:val="single" w:color="000000" w:sz="8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  <w:lang w:val="en-US"/>
                    </w:rPr>
                    <w:t>330KV送出线路</w:t>
                  </w:r>
                </w:p>
              </w:tc>
              <w:tc>
                <w:tcPr>
                  <w:tcW w:w="1337" w:type="dxa"/>
                  <w:vMerge w:val="continue"/>
                  <w:tcBorders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013" w:type="dxa"/>
                  <w:vMerge w:val="continue"/>
                  <w:tcBorders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vMerge w:val="continue"/>
                  <w:tcBorders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vMerge w:val="continue"/>
                  <w:tcBorders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vMerge w:val="continue"/>
                  <w:tcBorders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vMerge w:val="continue"/>
                  <w:tcBorders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57</w:t>
                  </w: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37</w:t>
                  </w: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37</w:t>
                  </w: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default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2</w:t>
                  </w: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  <w:t>57</w:t>
                  </w: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shd w:val="clear" w:color="auto" w:fill="auto"/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  <w:tr>
              <w:tblPrEx>
                <w:tblBorders>
                  <w:top w:val="none" w:color="auto" w:sz="0" w:space="0"/>
                  <w:left w:val="none" w:color="auto" w:sz="0" w:space="0"/>
                  <w:bottom w:val="none" w:color="auto" w:sz="0" w:space="0"/>
                  <w:right w:val="none" w:color="auto" w:sz="0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35" w:hRule="atLeast"/>
              </w:trPr>
              <w:tc>
                <w:tcPr>
                  <w:tcW w:w="930" w:type="dxa"/>
                  <w:vMerge w:val="continue"/>
                  <w:tcBorders>
                    <w:left w:val="single" w:color="000000" w:sz="8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sz w:val="20"/>
                      <w:szCs w:val="20"/>
                      <w:u w:val="none"/>
                    </w:rPr>
                  </w:pPr>
                </w:p>
              </w:tc>
              <w:tc>
                <w:tcPr>
                  <w:tcW w:w="1337" w:type="dxa"/>
                  <w:tcBorders>
                    <w:top w:val="single" w:color="000000" w:sz="4" w:space="0"/>
                    <w:left w:val="single" w:color="000000" w:sz="4" w:space="0"/>
                    <w:bottom w:val="single" w:color="auto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b/>
                      <w:bCs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013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38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4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  <w:tc>
                <w:tcPr>
                  <w:tcW w:w="1821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shd w:val="clear" w:color="auto" w:fill="auto"/>
                  <w:vAlign w:val="center"/>
                </w:tcPr>
                <w:p>
                  <w:pPr>
                    <w:jc w:val="center"/>
                    <w:rPr>
                      <w:rFonts w:hint="eastAsia" w:ascii="仿宋_GB2312" w:hAnsi="仿宋_GB2312" w:eastAsia="仿宋_GB2312" w:cs="仿宋_GB2312"/>
                      <w:i w:val="0"/>
                      <w:iCs w:val="0"/>
                      <w:color w:val="000000"/>
                      <w:kern w:val="2"/>
                      <w:sz w:val="20"/>
                      <w:szCs w:val="20"/>
                      <w:u w:val="none"/>
                      <w:lang w:val="en-US" w:eastAsia="zh-CN" w:bidi="ar-SA"/>
                    </w:rPr>
                  </w:pPr>
                </w:p>
              </w:tc>
            </w:tr>
          </w:tbl>
          <w:p>
            <w:pPr>
              <w:spacing w:line="360" w:lineRule="auto"/>
              <w:jc w:val="left"/>
              <w:rPr>
                <w:rFonts w:hint="default" w:ascii="仿宋_GB2312" w:hAnsi="仿宋_GB2312" w:eastAsia="仿宋_GB2312" w:cs="仿宋_GB2312"/>
                <w:b/>
                <w:sz w:val="22"/>
                <w:szCs w:val="22"/>
                <w:lang w:val="en-US"/>
              </w:rPr>
            </w:pPr>
          </w:p>
          <w:p>
            <w:pPr>
              <w:spacing w:line="360" w:lineRule="auto"/>
              <w:jc w:val="left"/>
              <w:rPr>
                <w:rFonts w:hint="default" w:ascii="仿宋_GB2312" w:hAnsi="仿宋_GB2312" w:eastAsia="仿宋_GB2312" w:cs="仿宋_GB2312"/>
                <w:b/>
                <w:sz w:val="22"/>
                <w:szCs w:val="22"/>
                <w:lang w:val="en-US"/>
              </w:rPr>
            </w:pPr>
          </w:p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</w:pPr>
            <w:r>
              <w:rPr>
                <w:rFonts w:hint="default" w:ascii="仿宋_GB2312" w:hAnsi="仿宋_GB2312" w:eastAsia="仿宋_GB2312" w:cs="仿宋_GB2312"/>
                <w:b/>
                <w:sz w:val="22"/>
                <w:szCs w:val="22"/>
                <w:lang w:val="en-US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sz w:val="22"/>
                <w:szCs w:val="22"/>
              </w:rPr>
              <w:t>、材料、设备到货</w:t>
            </w:r>
          </w:p>
          <w:tbl>
            <w:tblPr>
              <w:tblStyle w:val="15"/>
              <w:tblpPr w:leftFromText="180" w:rightFromText="180" w:vertAnchor="text" w:horzAnchor="page" w:tblpX="1376" w:tblpY="191"/>
              <w:tblOverlap w:val="never"/>
              <w:tblW w:w="9045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15"/>
              <w:gridCol w:w="1395"/>
              <w:gridCol w:w="930"/>
              <w:gridCol w:w="1500"/>
              <w:gridCol w:w="1380"/>
              <w:gridCol w:w="1185"/>
              <w:gridCol w:w="1740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48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left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8"/>
                      <w:szCs w:val="28"/>
                    </w:rPr>
                  </w:pPr>
                </w:p>
              </w:tc>
              <w:tc>
                <w:tcPr>
                  <w:tcW w:w="1395" w:type="dxa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  <w:lang w:val="en-US" w:eastAsia="zh-CN"/>
                    </w:rPr>
                    <w:t>设备名称</w:t>
                  </w:r>
                </w:p>
              </w:tc>
              <w:tc>
                <w:tcPr>
                  <w:tcW w:w="930" w:type="dxa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  <w:lang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  <w:lang w:val="en-US" w:eastAsia="zh-CN"/>
                    </w:rPr>
                    <w:t>总量</w:t>
                  </w:r>
                </w:p>
              </w:tc>
              <w:tc>
                <w:tcPr>
                  <w:tcW w:w="1500" w:type="dxa"/>
                  <w:vAlign w:val="top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kern w:val="2"/>
                      <w:sz w:val="22"/>
                      <w:szCs w:val="22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</w:rPr>
                    <w:t>本周计划</w:t>
                  </w:r>
                </w:p>
              </w:tc>
              <w:tc>
                <w:tcPr>
                  <w:tcW w:w="1380" w:type="dxa"/>
                  <w:vAlign w:val="top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kern w:val="2"/>
                      <w:sz w:val="22"/>
                      <w:szCs w:val="22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</w:rPr>
                    <w:t>本周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  <w:lang w:val="en-US" w:eastAsia="zh-CN"/>
                    </w:rPr>
                    <w:t>到货</w:t>
                  </w:r>
                </w:p>
              </w:tc>
              <w:tc>
                <w:tcPr>
                  <w:tcW w:w="1185" w:type="dxa"/>
                  <w:vAlign w:val="top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kern w:val="2"/>
                      <w:sz w:val="22"/>
                      <w:szCs w:val="22"/>
                      <w:lang w:val="en-US" w:eastAsia="zh-CN" w:bidi="ar-SA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</w:rPr>
                    <w:t>累计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  <w:lang w:val="en-US" w:eastAsia="zh-CN"/>
                    </w:rPr>
                    <w:t>到货</w:t>
                  </w:r>
                </w:p>
              </w:tc>
              <w:tc>
                <w:tcPr>
                  <w:tcW w:w="1740" w:type="dxa"/>
                </w:tcPr>
                <w:p>
                  <w:pPr>
                    <w:spacing w:line="360" w:lineRule="auto"/>
                    <w:ind w:firstLine="331" w:firstLineChars="150"/>
                    <w:jc w:val="both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2"/>
                      <w:szCs w:val="22"/>
                    </w:rPr>
                    <w:t>下周计划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4"/>
                      <w:szCs w:val="24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</w:t>
                  </w:r>
                  <w:r>
                    <w:rPr>
                      <w:rFonts w:hint="eastAsia" w:ascii="仿宋_GB2312" w:hAnsi="仿宋_GB2312" w:eastAsia="仿宋_GB2312" w:cs="仿宋_GB2312"/>
                      <w:b/>
                      <w:color w:val="auto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HPB330直径8mmE钢筋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 w:eastAsia="zh-CN"/>
                    </w:rPr>
                    <w:t>3.15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 w:eastAsia="zh-CN"/>
                    </w:rPr>
                    <w:t xml:space="preserve">   3.15               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ind w:firstLine="738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02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HPB330直径10mmE钢筋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0.2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ind w:firstLine="402" w:firstLineChars="2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0.2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ind w:firstLine="738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03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HPB330直径12mmE钢筋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0.34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ind w:firstLine="301" w:firstLineChars="15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0.34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ind w:firstLine="632" w:firstLineChars="3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 xml:space="preserve"> 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04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HPB330直径14mmE钢筋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0.83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ind w:firstLine="201" w:firstLineChars="1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0.83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 xml:space="preserve">       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05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HPB330直径16mmE钢筋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3.93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ind w:firstLine="201" w:firstLineChars="1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0"/>
                      <w:szCs w:val="20"/>
                      <w:lang w:val="en-US" w:eastAsia="zh-CN" w:bidi="ar-SA"/>
                    </w:rPr>
                    <w:t>3.93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ind w:firstLine="738" w:firstLineChars="35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06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HPB330直径18mmE钢筋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7.99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7.99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07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HRB330直径18mmE钢筋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2.5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2.5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2"/>
                      <w:szCs w:val="22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08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HRB330直径20mmE钢筋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12.01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12.01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2"/>
                      <w:szCs w:val="22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09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8"/>
                      <w:szCs w:val="28"/>
                      <w:lang w:val="en-US" w:eastAsia="zh-CN" w:bidi="ar-SA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HRB330直径22mmE钢筋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15.59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15.59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kern w:val="2"/>
                      <w:sz w:val="21"/>
                      <w:szCs w:val="21"/>
                      <w:lang w:val="en-US" w:eastAsia="zh-CN" w:bidi="ar-SA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10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地脚螺栓(套)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936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  <w:t>300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  <w:t>300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900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ind w:firstLine="663" w:firstLineChars="3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36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11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土木格栅(M3)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10500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0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ind w:firstLine="663" w:firstLineChars="3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10500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12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</w:rPr>
                    <w:t>光伏支架</w:t>
                  </w: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(组)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19894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ind w:firstLine="221" w:firstLineChars="100"/>
                    <w:jc w:val="both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2100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0"/>
                      <w:szCs w:val="20"/>
                      <w:lang w:val="en-US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13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白石灰(吨)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  <w:t>10350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100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100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5295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 w:eastAsia="zh-CN"/>
                    </w:rPr>
                    <w:t>0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90" w:hRule="atLeast"/>
              </w:trPr>
              <w:tc>
                <w:tcPr>
                  <w:tcW w:w="915" w:type="dxa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color w:val="auto"/>
                      <w:sz w:val="24"/>
                      <w:szCs w:val="24"/>
                      <w:lang w:val="en-US"/>
                    </w:rPr>
                    <w:t>14</w:t>
                  </w:r>
                </w:p>
              </w:tc>
              <w:tc>
                <w:tcPr>
                  <w:tcW w:w="139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2"/>
                      <w:szCs w:val="22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1"/>
                      <w:szCs w:val="21"/>
                      <w:lang w:val="en-US"/>
                    </w:rPr>
                    <w:t>镀锌扁铁(吨)</w:t>
                  </w:r>
                </w:p>
              </w:tc>
              <w:tc>
                <w:tcPr>
                  <w:tcW w:w="93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/>
                    </w:rPr>
                    <w:t>120</w:t>
                  </w:r>
                </w:p>
              </w:tc>
              <w:tc>
                <w:tcPr>
                  <w:tcW w:w="150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  <w:t>0</w:t>
                  </w:r>
                </w:p>
              </w:tc>
              <w:tc>
                <w:tcPr>
                  <w:tcW w:w="138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  <w:t>0</w:t>
                  </w:r>
                </w:p>
              </w:tc>
              <w:tc>
                <w:tcPr>
                  <w:tcW w:w="1185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  <w:t>6</w:t>
                  </w:r>
                </w:p>
              </w:tc>
              <w:tc>
                <w:tcPr>
                  <w:tcW w:w="1740" w:type="dxa"/>
                  <w:vAlign w:val="center"/>
                </w:tcPr>
                <w:p>
                  <w:pPr>
                    <w:spacing w:line="360" w:lineRule="auto"/>
                    <w:jc w:val="center"/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</w:pPr>
                  <w:r>
                    <w:rPr>
                      <w:rFonts w:hint="default" w:ascii="仿宋_GB2312" w:hAnsi="仿宋_GB2312" w:eastAsia="仿宋_GB2312" w:cs="仿宋_GB2312"/>
                      <w:b/>
                      <w:bCs w:val="0"/>
                      <w:color w:val="auto"/>
                      <w:sz w:val="24"/>
                      <w:szCs w:val="24"/>
                      <w:lang w:val="en-US" w:eastAsia="zh-CN"/>
                    </w:rPr>
                    <w:t>0</w:t>
                  </w:r>
                </w:p>
              </w:tc>
            </w:tr>
          </w:tbl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  <w:t>四</w:t>
            </w:r>
            <w:r>
              <w:rPr>
                <w:rFonts w:hint="eastAsia" w:ascii="仿宋_GB2312" w:hAnsi="仿宋_GB2312" w:eastAsia="仿宋_GB2312" w:cs="仿宋_GB2312"/>
                <w:b/>
                <w:sz w:val="21"/>
                <w:szCs w:val="21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  <w:t>监理对总包现场质量</w:t>
            </w:r>
            <w:r>
              <w:rPr>
                <w:rFonts w:hint="eastAsia" w:ascii="仿宋_GB2312" w:hAnsi="仿宋_GB2312" w:eastAsia="仿宋_GB2312" w:cs="仿宋_GB2312"/>
                <w:b/>
                <w:sz w:val="21"/>
                <w:szCs w:val="21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  <w:t>安全</w:t>
            </w:r>
            <w:r>
              <w:rPr>
                <w:rFonts w:hint="eastAsia" w:ascii="仿宋_GB2312" w:hAnsi="仿宋_GB2312" w:eastAsia="仿宋_GB2312" w:cs="仿宋_GB2312"/>
                <w:b/>
                <w:sz w:val="21"/>
                <w:szCs w:val="21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8"/>
              </w:rPr>
              <w:t>进度等进行综合评价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330" w:firstLineChars="150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FF0000"/>
                <w:sz w:val="22"/>
                <w:szCs w:val="24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施工质量方面：</w:t>
            </w:r>
          </w:p>
          <w:p>
            <w:pPr>
              <w:numPr>
                <w:ilvl w:val="0"/>
                <w:numId w:val="0"/>
              </w:numPr>
              <w:spacing w:line="520" w:lineRule="exact"/>
              <w:ind w:firstLine="442" w:firstLineChars="200"/>
              <w:rPr>
                <w:rFonts w:hint="eastAsia" w:ascii="仿宋_GB2312" w:hAnsi="仿宋_GB2312" w:eastAsia="仿宋_GB2312" w:cs="仿宋_GB2312"/>
                <w:sz w:val="28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</w:rPr>
              <w:t>承包单位质量管理体系总体运转正常，总工及专职质量人员在岗，目前现场主要施工为光伏支架安装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>。</w:t>
            </w:r>
          </w:p>
          <w:p>
            <w:pPr>
              <w:numPr>
                <w:ilvl w:val="0"/>
                <w:numId w:val="4"/>
              </w:numPr>
              <w:spacing w:line="520" w:lineRule="exact"/>
              <w:ind w:left="90" w:leftChars="0" w:firstLine="0" w:firstLineChars="0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安全文明施工方面：</w:t>
            </w:r>
          </w:p>
          <w:p>
            <w:pPr>
              <w:numPr>
                <w:ilvl w:val="0"/>
                <w:numId w:val="0"/>
              </w:numPr>
              <w:spacing w:line="520" w:lineRule="exact"/>
              <w:ind w:left="90" w:leftChars="0" w:firstLine="330" w:firstLineChars="150"/>
              <w:rPr>
                <w:rFonts w:hint="eastAsia" w:ascii="仿宋_GB2312" w:hAnsi="仿宋_GB2312" w:eastAsia="仿宋_GB2312" w:cs="仿宋_GB2312"/>
                <w:sz w:val="22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</w:rPr>
              <w:t>施工单位安全体系运行情况正常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/>
              </w:rPr>
              <w:t>,未有安全事故发生:</w:t>
            </w:r>
          </w:p>
          <w:p>
            <w:pPr>
              <w:pStyle w:val="26"/>
              <w:numPr>
                <w:ilvl w:val="0"/>
                <w:numId w:val="0"/>
              </w:numPr>
              <w:spacing w:line="360" w:lineRule="auto"/>
              <w:ind w:firstLine="442" w:firstLineChars="200"/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</w:pPr>
            <w:r>
              <w:rPr>
                <w:rFonts w:hint="default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3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</w:rPr>
              <w:t>工程技术管理情况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:</w:t>
            </w:r>
          </w:p>
          <w:p>
            <w:pPr>
              <w:pStyle w:val="28"/>
              <w:numPr>
                <w:ilvl w:val="0"/>
                <w:numId w:val="5"/>
              </w:numPr>
              <w:spacing w:line="360" w:lineRule="auto"/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加强施工组织,确保产值和形象进度双丰收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。</w:t>
            </w:r>
          </w:p>
          <w:p>
            <w:pPr>
              <w:pStyle w:val="28"/>
              <w:numPr>
                <w:ilvl w:val="0"/>
                <w:numId w:val="5"/>
              </w:numPr>
              <w:spacing w:line="360" w:lineRule="auto"/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  <w:lang w:val="en-US"/>
              </w:rPr>
              <w:t>督促施工单位做好“四小四新"科技创新试点试范工作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。</w:t>
            </w:r>
          </w:p>
          <w:p>
            <w:pPr>
              <w:pStyle w:val="28"/>
              <w:numPr>
                <w:ilvl w:val="0"/>
                <w:numId w:val="5"/>
              </w:numPr>
              <w:spacing w:line="360" w:lineRule="auto"/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  <w:lang w:val="en-US"/>
              </w:rPr>
              <w:t>变更设计方面:实事求是变更,先审请,后变更,先变更后施工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520" w:lineRule="exact"/>
              <w:ind w:firstLine="331" w:firstLineChars="150"/>
              <w:outlineLvl w:val="1"/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</w:pPr>
            <w:r>
              <w:rPr>
                <w:rFonts w:hint="default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4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</w:rPr>
              <w:t>综合工作方面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:</w:t>
            </w:r>
          </w:p>
          <w:p>
            <w:pPr>
              <w:numPr>
                <w:ilvl w:val="0"/>
                <w:numId w:val="0"/>
              </w:numPr>
              <w:spacing w:line="520" w:lineRule="exact"/>
              <w:ind w:firstLine="331" w:firstLineChars="150"/>
              <w:outlineLvl w:val="1"/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做好保密工作,做好信访稳定,维稳问题整改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。</w:t>
            </w:r>
          </w:p>
          <w:p>
            <w:pPr>
              <w:numPr>
                <w:ilvl w:val="0"/>
                <w:numId w:val="0"/>
              </w:numPr>
              <w:spacing w:line="520" w:lineRule="exact"/>
              <w:ind w:firstLine="331" w:firstLineChars="150"/>
              <w:outlineLvl w:val="1"/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</w:rPr>
            </w:pPr>
            <w:r>
              <w:rPr>
                <w:rFonts w:hint="default" w:ascii="仿宋_GB2312" w:hAnsi="仿宋_GB2312" w:eastAsia="仿宋_GB2312" w:cs="仿宋_GB2312"/>
                <w:b/>
                <w:color w:val="FF0000"/>
                <w:sz w:val="22"/>
                <w:szCs w:val="24"/>
                <w:lang w:val="en-US"/>
              </w:rPr>
              <w:t>5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</w:rPr>
              <w:t>、环水保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</w:rPr>
              <w:t>施工情况</w:t>
            </w:r>
          </w:p>
          <w:p>
            <w:pPr>
              <w:spacing w:line="360" w:lineRule="auto"/>
              <w:ind w:firstLine="330" w:firstLineChars="150"/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</w:rPr>
              <w:t>施工单位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</w:rPr>
              <w:t>环水保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</w:rPr>
              <w:t>体系运行情况正常。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本周现场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2"/>
                <w:szCs w:val="24"/>
              </w:rPr>
              <w:t>环水保</w:t>
            </w:r>
            <w:r>
              <w:rPr>
                <w:rFonts w:hint="eastAsia" w:ascii="仿宋_GB2312" w:hAnsi="仿宋_GB2312" w:eastAsia="仿宋_GB2312" w:cs="仿宋_GB2312"/>
                <w:kern w:val="0"/>
                <w:sz w:val="22"/>
                <w:szCs w:val="24"/>
              </w:rPr>
              <w:t>施工总体可控。</w:t>
            </w:r>
          </w:p>
          <w:p>
            <w:pPr>
              <w:spacing w:line="360" w:lineRule="auto"/>
              <w:ind w:firstLine="361" w:firstLineChars="150"/>
              <w:outlineLvl w:val="0"/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  <w:lang w:val="en-US"/>
              </w:rPr>
            </w:pPr>
            <w:r>
              <w:rPr>
                <w:rFonts w:hint="default" w:ascii="仿宋_GB2312" w:hAnsi="仿宋_GB2312" w:eastAsia="仿宋_GB2312" w:cs="仿宋_GB2312"/>
                <w:b/>
                <w:color w:val="FF0000"/>
                <w:sz w:val="24"/>
                <w:szCs w:val="28"/>
                <w:lang w:val="en-US"/>
              </w:rPr>
              <w:t>6</w:t>
            </w:r>
            <w:r>
              <w:rPr>
                <w:rFonts w:hint="eastAsia" w:ascii="仿宋_GB2312" w:hAnsi="仿宋_GB2312" w:eastAsia="仿宋_GB2312" w:cs="仿宋_GB2312"/>
                <w:b/>
                <w:color w:val="FF0000"/>
                <w:sz w:val="24"/>
                <w:szCs w:val="28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</w:rPr>
              <w:t>施工进度及进度滞后原因分析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  <w:lang w:val="en-US"/>
              </w:rPr>
              <w:t>:</w:t>
            </w:r>
          </w:p>
          <w:p>
            <w:pPr>
              <w:spacing w:line="360" w:lineRule="auto"/>
              <w:outlineLvl w:val="0"/>
              <w:rPr>
                <w:rFonts w:hint="default" w:ascii="仿宋_GB2312" w:hAnsi="仿宋_GB2312" w:eastAsia="仿宋_GB2312" w:cs="仿宋_GB2312"/>
                <w:b w:val="0"/>
                <w:bCs w:val="0"/>
                <w:color w:val="FF0000"/>
                <w:sz w:val="24"/>
                <w:szCs w:val="28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FF0000"/>
                <w:sz w:val="21"/>
                <w:szCs w:val="2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FF0000"/>
                <w:sz w:val="22"/>
                <w:szCs w:val="24"/>
              </w:rPr>
              <w:t>施工进度与进度计划一致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FF0000"/>
                <w:sz w:val="22"/>
                <w:szCs w:val="24"/>
                <w:lang w:val="en-US"/>
              </w:rPr>
              <w:t>,未出现严重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FF0000"/>
                <w:sz w:val="22"/>
                <w:szCs w:val="24"/>
                <w:lang w:val="en-US"/>
              </w:rPr>
              <w:t>滞后现象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FF0000"/>
                <w:sz w:val="22"/>
                <w:szCs w:val="24"/>
                <w:lang w:val="en-US"/>
              </w:rPr>
              <w:t>.</w:t>
            </w:r>
          </w:p>
          <w:p>
            <w:pPr>
              <w:pStyle w:val="6"/>
              <w:numPr>
                <w:ilvl w:val="0"/>
                <w:numId w:val="6"/>
              </w:numPr>
              <w:spacing w:line="360" w:lineRule="auto"/>
              <w:rPr>
                <w:rFonts w:hint="default" w:ascii="仿宋_GB2312" w:hAnsi="仿宋_GB2312" w:eastAsia="仿宋_GB2312" w:cs="仿宋_GB2312"/>
                <w:b/>
                <w:sz w:val="22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2"/>
                <w:szCs w:val="24"/>
              </w:rPr>
              <w:t>监理通报本周存在问题</w:t>
            </w:r>
            <w:r>
              <w:rPr>
                <w:rFonts w:hint="default" w:ascii="仿宋_GB2312" w:hAnsi="仿宋_GB2312" w:eastAsia="仿宋_GB2312" w:cs="仿宋_GB2312"/>
                <w:b/>
                <w:sz w:val="22"/>
                <w:szCs w:val="24"/>
                <w:lang w:val="en-US"/>
              </w:rPr>
              <w:t>:</w:t>
            </w:r>
          </w:p>
          <w:p>
            <w:pPr>
              <w:pStyle w:val="6"/>
              <w:numPr>
                <w:ilvl w:val="0"/>
                <w:numId w:val="0"/>
              </w:numPr>
              <w:spacing w:line="360" w:lineRule="auto"/>
              <w:ind w:leftChars="0"/>
              <w:rPr>
                <w:rFonts w:hint="default" w:ascii="仿宋_GB2312" w:hAnsi="仿宋_GB2312" w:eastAsia="仿宋_GB2312" w:cs="仿宋_GB2312"/>
                <w:bCs/>
                <w:sz w:val="22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Cs/>
                <w:sz w:val="22"/>
                <w:szCs w:val="24"/>
                <w:lang w:val="en-US"/>
              </w:rPr>
              <w:t>(1)</w:t>
            </w:r>
            <w:r>
              <w:rPr>
                <w:rFonts w:hint="eastAsia" w:ascii="仿宋_GB2312" w:hAnsi="仿宋_GB2312" w:eastAsia="仿宋_GB2312" w:cs="仿宋_GB2312"/>
                <w:bCs/>
                <w:sz w:val="22"/>
                <w:szCs w:val="24"/>
                <w:lang w:val="en-US" w:eastAsia="zh-CN"/>
              </w:rPr>
              <w:t>对已下发的质量通知单未及时回复。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2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FF0000"/>
                <w:sz w:val="22"/>
                <w:szCs w:val="24"/>
              </w:rPr>
              <w:t>六、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</w:rPr>
              <w:t>监理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单位要求</w:t>
            </w:r>
            <w:r>
              <w:rPr>
                <w:rFonts w:hint="default" w:ascii="仿宋_GB2312" w:hAnsi="仿宋_GB2312" w:eastAsia="仿宋_GB2312" w:cs="仿宋_GB2312"/>
                <w:b/>
                <w:bCs/>
                <w:sz w:val="22"/>
                <w:szCs w:val="22"/>
                <w:lang w:val="en-US"/>
              </w:rPr>
              <w:t>: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220" w:firstLineChars="1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1、施工人员进退场台账管理应到位，新进场人员的资格证书、安全技术交底等资料应及时报审。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2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、施工单位每日上报的施工日报内容应完整，包含正在施工的所有分部分项工程；同时对第二日将组织的隐蔽验收、见证取样做出说明。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rFonts w:hint="default" w:ascii="仿宋_GB2312" w:hAnsi="仿宋_GB2312" w:eastAsia="仿宋_GB2312" w:cs="仿宋_GB2312"/>
                <w:sz w:val="22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、个别分项工程未履行报验程序，私自隐蔽部位按规范要求重新验收。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210" w:firstLineChars="100"/>
              <w:textAlignment w:val="auto"/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2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1"/>
                <w:szCs w:val="22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送出线路工程、集电线路工程施工过程中应提前于国网主管部门做好沟通，同时做好安全措施后再施工。</w:t>
            </w:r>
          </w:p>
          <w:p>
            <w:pPr>
              <w:numPr>
                <w:ilvl w:val="0"/>
                <w:numId w:val="0"/>
              </w:numPr>
              <w:spacing w:line="360" w:lineRule="auto"/>
              <w:outlineLvl w:val="0"/>
              <w:rPr>
                <w:rFonts w:hint="default" w:ascii="仿宋_GB2312" w:eastAsia="仿宋_GB2312"/>
                <w:color w:val="000000"/>
                <w:kern w:val="0"/>
                <w:sz w:val="22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caps w:val="0"/>
                <w:spacing w:val="0"/>
                <w:w w:val="100"/>
                <w:sz w:val="22"/>
                <w:szCs w:val="21"/>
              </w:rPr>
              <w:t>七丶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aps w:val="0"/>
                <w:spacing w:val="0"/>
                <w:w w:val="100"/>
                <w:sz w:val="22"/>
                <w:szCs w:val="21"/>
              </w:rPr>
              <w:t>建设单位要求:</w:t>
            </w:r>
            <w:r>
              <w:rPr>
                <w:rFonts w:hint="default" w:ascii="仿宋_GB2312" w:eastAsia="仿宋_GB2312"/>
                <w:color w:val="000000"/>
                <w:kern w:val="0"/>
                <w:sz w:val="22"/>
                <w:szCs w:val="22"/>
                <w:lang w:val="en-US"/>
              </w:rPr>
              <w:t xml:space="preserve"> 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default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1、农民工工资专户保障金需在11.20之前完成。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2"/>
                <w:szCs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、升压站土地证、并网手续、e网账户立即启动办理。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3、升压站储能单位工程11月15日完成储能打桩施工。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>4、大件运输方案、电气安装施工人员、特种人员的资料报监理单位审核。</w:t>
            </w:r>
          </w:p>
          <w:p>
            <w:pPr>
              <w:spacing w:line="360" w:lineRule="auto"/>
              <w:ind w:firstLine="220" w:firstLineChars="100"/>
              <w:jc w:val="left"/>
              <w:rPr>
                <w:rFonts w:hint="default" w:ascii="仿宋_GB2312" w:hAnsi="仿宋_GB2312" w:eastAsia="仿宋_GB2312" w:cs="仿宋_GB2312"/>
                <w:sz w:val="22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4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ind w:left="0" w:leftChars="0" w:firstLine="3630" w:firstLineChars="1650"/>
              <w:rPr>
                <w:rFonts w:hint="default" w:asciiTheme="minorEastAsia" w:hAnsiTheme="minorEastAsia"/>
                <w:sz w:val="24"/>
                <w:lang w:val="en-US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2"/>
                <w:szCs w:val="22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8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主送单位</w:t>
            </w:r>
          </w:p>
        </w:tc>
        <w:tc>
          <w:tcPr>
            <w:tcW w:w="667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left"/>
              <w:rPr>
                <w:rFonts w:hint="eastAsia" w:ascii="仿宋_GB2312" w:hAnsi="仿宋_GB2312" w:eastAsia="仿宋_GB2312" w:cs="仿宋_GB2312"/>
                <w:spacing w:val="4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上海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u w:val="none"/>
                <w:lang w:val="en-US" w:eastAsia="zh-CN"/>
              </w:rPr>
              <w:t>电力建设有限责任公司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08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抄送单位</w:t>
            </w:r>
          </w:p>
        </w:tc>
        <w:tc>
          <w:tcPr>
            <w:tcW w:w="667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pacing w:val="4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0"/>
                <w:lang w:eastAsia="zh-CN"/>
              </w:rPr>
              <w:t>甘肃刘家峡浩博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u w:val="none"/>
                <w:lang w:val="en-US" w:eastAsia="zh-CN"/>
              </w:rPr>
              <w:t>新能源有限公司</w:t>
            </w:r>
            <w:bookmarkStart w:id="1" w:name="_GoBack"/>
            <w:bookmarkEnd w:id="1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808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发文单位</w:t>
            </w:r>
          </w:p>
        </w:tc>
        <w:tc>
          <w:tcPr>
            <w:tcW w:w="339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left"/>
              <w:rPr>
                <w:rFonts w:hint="eastAsia" w:ascii="仿宋_GB2312" w:hAnsi="仿宋_GB2312" w:eastAsia="仿宋_GB2312" w:cs="仿宋_GB2312"/>
                <w:spacing w:val="4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1"/>
                <w:szCs w:val="21"/>
                <w:u w:val="none"/>
                <w:lang w:val="en-US" w:eastAsia="zh-CN"/>
              </w:rPr>
              <w:t>常州正衡电力工程监理有限公司</w:t>
            </w:r>
          </w:p>
        </w:tc>
        <w:tc>
          <w:tcPr>
            <w:tcW w:w="1321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发文时间</w:t>
            </w:r>
          </w:p>
        </w:tc>
        <w:tc>
          <w:tcPr>
            <w:tcW w:w="195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after="100"/>
              <w:jc w:val="center"/>
              <w:rPr>
                <w:rFonts w:hint="default" w:asciiTheme="minorEastAsia" w:hAnsiTheme="minorEastAsia" w:eastAsiaTheme="minorEastAsia"/>
                <w:spacing w:val="40"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/>
                <w:spacing w:val="40"/>
                <w:sz w:val="22"/>
                <w:szCs w:val="22"/>
                <w:lang w:val="en-US" w:eastAsia="zh-CN"/>
              </w:rPr>
              <w:t>2024.</w:t>
            </w:r>
            <w:r>
              <w:rPr>
                <w:rFonts w:hint="eastAsia" w:asciiTheme="minorEastAsia" w:hAnsiTheme="minorEastAsia"/>
                <w:spacing w:val="40"/>
                <w:sz w:val="22"/>
                <w:szCs w:val="22"/>
                <w:lang w:val="en-US" w:eastAsia="zh-CN"/>
              </w:rPr>
              <w:t>11</w:t>
            </w:r>
            <w:r>
              <w:rPr>
                <w:rFonts w:hint="default" w:asciiTheme="minorEastAsia" w:hAnsiTheme="minorEastAsia"/>
                <w:spacing w:val="40"/>
                <w:sz w:val="22"/>
                <w:szCs w:val="22"/>
                <w:lang w:val="en-US" w:eastAsia="zh-CN"/>
              </w:rPr>
              <w:t>.</w:t>
            </w:r>
            <w:r>
              <w:rPr>
                <w:rFonts w:hint="eastAsia" w:asciiTheme="minorEastAsia" w:hAnsiTheme="minorEastAsia"/>
                <w:spacing w:val="40"/>
                <w:sz w:val="22"/>
                <w:szCs w:val="22"/>
                <w:lang w:val="en-US" w:eastAsia="zh-CN"/>
              </w:rPr>
              <w:t>5</w:t>
            </w:r>
          </w:p>
        </w:tc>
      </w:tr>
    </w:tbl>
    <w:p>
      <w:pPr>
        <w:topLinePunct/>
        <w:ind w:firstLine="1890" w:firstLineChars="900"/>
        <w:jc w:val="both"/>
        <w:outlineLvl w:val="0"/>
        <w:rPr>
          <w:rFonts w:hint="eastAsia"/>
        </w:rPr>
      </w:pPr>
      <w:r>
        <w:rPr>
          <w:rFonts w:hint="eastAsia" w:ascii="仿宋_GB2312" w:hAnsi="仿宋_GB2312" w:eastAsia="仿宋_GB2312" w:cs="仿宋_GB2312"/>
          <w:sz w:val="21"/>
          <w:szCs w:val="21"/>
          <w:lang w:val="en-US"/>
        </w:rPr>
        <w:t xml:space="preserve">                  </w:t>
      </w:r>
    </w:p>
    <w:p>
      <w:pPr>
        <w:pStyle w:val="10"/>
        <w:ind w:left="0" w:leftChars="0" w:firstLine="0" w:firstLineChars="0"/>
        <w:rPr>
          <w:rFonts w:hint="eastAsia" w:eastAsiaTheme="minorEastAsia"/>
          <w:lang w:val="en-US" w:eastAsia="zh-CN"/>
        </w:rPr>
      </w:pPr>
      <w:r>
        <w:rPr>
          <w:rFonts w:hint="default"/>
          <w:lang w:val="en-US"/>
        </w:rPr>
        <w:t xml:space="preserve"> </w:t>
      </w:r>
      <w:r>
        <w:rPr>
          <w:rFonts w:hint="eastAsia" w:eastAsiaTheme="minorEastAsia"/>
          <w:lang w:val="en-US" w:eastAsia="zh-CN"/>
        </w:rPr>
        <w:drawing>
          <wp:inline distT="0" distB="0" distL="114300" distR="114300">
            <wp:extent cx="5266690" cy="4806315"/>
            <wp:effectExtent l="0" t="0" r="10160" b="13335"/>
            <wp:docPr id="1" name="图片 1" descr="92413fc42aa112362c93107f529ef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2413fc42aa112362c93107f529ef1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4806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4084276"/>
    <w:multiLevelType w:val="multilevel"/>
    <w:tmpl w:val="C4084276"/>
    <w:lvl w:ilvl="0" w:tentative="0">
      <w:start w:val="1"/>
      <w:numFmt w:val="decimal"/>
      <w:pStyle w:val="7"/>
      <w:suff w:val="space"/>
      <w:lvlText w:val="%1."/>
      <w:lvlJc w:val="left"/>
      <w:pPr>
        <w:tabs>
          <w:tab w:val="left" w:pos="0"/>
        </w:tabs>
        <w:ind w:left="0" w:firstLine="0"/>
      </w:pPr>
      <w:rPr>
        <w:rFonts w:hint="default" w:ascii="宋体" w:hAnsi="宋体" w:eastAsia="宋体" w:cs="宋体"/>
      </w:rPr>
    </w:lvl>
    <w:lvl w:ilvl="1" w:tentative="0">
      <w:start w:val="1"/>
      <w:numFmt w:val="decimal"/>
      <w:isLgl/>
      <w:suff w:val="space"/>
      <w:lvlText w:val="%1.%2."/>
      <w:lvlJc w:val="left"/>
      <w:pPr>
        <w:tabs>
          <w:tab w:val="left" w:pos="420"/>
        </w:tabs>
        <w:ind w:left="0" w:firstLine="0"/>
      </w:pPr>
      <w:rPr>
        <w:rFonts w:hint="default" w:ascii="宋体" w:hAnsi="宋体" w:eastAsia="宋体" w:cs="宋体"/>
      </w:rPr>
    </w:lvl>
    <w:lvl w:ilvl="2" w:tentative="0">
      <w:start w:val="1"/>
      <w:numFmt w:val="decimal"/>
      <w:isLgl/>
      <w:suff w:val="space"/>
      <w:lvlText w:val="%1.%2.%3."/>
      <w:lvlJc w:val="left"/>
      <w:pPr>
        <w:tabs>
          <w:tab w:val="left" w:pos="420"/>
        </w:tabs>
        <w:ind w:left="0" w:firstLine="0"/>
      </w:pPr>
      <w:rPr>
        <w:rFonts w:hint="default" w:ascii="宋体" w:hAnsi="宋体" w:eastAsia="宋体" w:cs="宋体"/>
      </w:rPr>
    </w:lvl>
    <w:lvl w:ilvl="3" w:tentative="0">
      <w:start w:val="1"/>
      <w:numFmt w:val="decimal"/>
      <w:isLgl/>
      <w:suff w:val="space"/>
      <w:lvlText w:val="%1.%2.%3.%4."/>
      <w:lvlJc w:val="left"/>
      <w:pPr>
        <w:tabs>
          <w:tab w:val="left" w:pos="420"/>
        </w:tabs>
        <w:ind w:left="0" w:firstLine="0"/>
      </w:pPr>
      <w:rPr>
        <w:rFonts w:hint="default" w:ascii="宋体" w:hAnsi="宋体" w:eastAsia="宋体" w:cs="宋体"/>
      </w:rPr>
    </w:lvl>
    <w:lvl w:ilvl="4" w:tentative="0">
      <w:start w:val="1"/>
      <w:numFmt w:val="decimal"/>
      <w:isLgl/>
      <w:suff w:val="space"/>
      <w:lvlText w:val="%1.%2.%3.%4.%5."/>
      <w:lvlJc w:val="left"/>
      <w:pPr>
        <w:tabs>
          <w:tab w:val="left" w:pos="420"/>
        </w:tabs>
        <w:ind w:left="0" w:firstLine="0"/>
      </w:pPr>
      <w:rPr>
        <w:rFonts w:hint="default" w:ascii="宋体" w:hAnsi="宋体" w:eastAsia="宋体" w:cs="宋体"/>
      </w:rPr>
    </w:lvl>
    <w:lvl w:ilvl="5" w:tentative="0">
      <w:start w:val="1"/>
      <w:numFmt w:val="decimal"/>
      <w:isLgl/>
      <w:suff w:val="space"/>
      <w:lvlText w:val="%1.%2.%3.%4.%5.%6."/>
      <w:lvlJc w:val="left"/>
      <w:pPr>
        <w:tabs>
          <w:tab w:val="left" w:pos="0"/>
        </w:tabs>
        <w:ind w:left="0" w:firstLine="0"/>
      </w:pPr>
      <w:rPr>
        <w:rFonts w:hint="default" w:ascii="宋体" w:hAnsi="宋体" w:eastAsia="宋体" w:cs="宋体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abstractNum w:abstractNumId="1">
    <w:nsid w:val="FAF904E5"/>
    <w:multiLevelType w:val="singleLevel"/>
    <w:tmpl w:val="FAF904E5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FFFFFF1D"/>
    <w:multiLevelType w:val="multilevel"/>
    <w:tmpl w:val="FFFFFF1D"/>
    <w:lvl w:ilvl="0" w:tentative="0">
      <w:start w:val="1"/>
      <w:numFmt w:val="bullet"/>
      <w:lvlText w:val=""/>
      <w:lvlJc w:val="left"/>
      <w:pPr>
        <w:tabs>
          <w:tab w:val="left" w:pos="0"/>
        </w:tabs>
        <w:ind w:left="0" w:firstLine="0"/>
      </w:pPr>
      <w:rPr>
        <w:rFonts w:hint="default" w:ascii="Wingdings" w:hAnsi="Wingdings"/>
      </w:rPr>
    </w:lvl>
    <w:lvl w:ilvl="1" w:tentative="0">
      <w:start w:val="1"/>
      <w:numFmt w:val="bullet"/>
      <w:pStyle w:val="18"/>
      <w:lvlText w:val=""/>
      <w:lvlJc w:val="left"/>
      <w:pPr>
        <w:tabs>
          <w:tab w:val="left" w:pos="720"/>
        </w:tabs>
        <w:ind w:left="1080" w:hanging="360"/>
      </w:pPr>
      <w:rPr>
        <w:rFonts w:hint="default" w:ascii="Symbol" w:hAnsi="Symbol"/>
      </w:rPr>
    </w:lvl>
    <w:lvl w:ilvl="2" w:tentative="0">
      <w:start w:val="1"/>
      <w:numFmt w:val="bullet"/>
      <w:lvlText w:val="o"/>
      <w:lvlJc w:val="left"/>
      <w:pPr>
        <w:tabs>
          <w:tab w:val="left" w:pos="1440"/>
        </w:tabs>
        <w:ind w:left="1800" w:hanging="360"/>
      </w:pPr>
      <w:rPr>
        <w:rFonts w:hint="default" w:ascii="Courier New" w:hAnsi="Courier New" w:cs="Courier New"/>
      </w:rPr>
    </w:lvl>
    <w:lvl w:ilvl="3" w:tentative="0">
      <w:start w:val="1"/>
      <w:numFmt w:val="bullet"/>
      <w:lvlText w:val=""/>
      <w:lvlJc w:val="left"/>
      <w:pPr>
        <w:tabs>
          <w:tab w:val="left" w:pos="2160"/>
        </w:tabs>
        <w:ind w:left="2520" w:hanging="360"/>
      </w:pPr>
      <w:rPr>
        <w:rFonts w:hint="default" w:ascii="Wingdings" w:hAnsi="Wingdings"/>
      </w:rPr>
    </w:lvl>
    <w:lvl w:ilvl="4" w:tentative="0">
      <w:start w:val="1"/>
      <w:numFmt w:val="bullet"/>
      <w:lvlText w:val=""/>
      <w:lvlJc w:val="left"/>
      <w:pPr>
        <w:tabs>
          <w:tab w:val="left" w:pos="2880"/>
        </w:tabs>
        <w:ind w:left="3240" w:hanging="360"/>
      </w:pPr>
      <w:rPr>
        <w:rFonts w:hint="default" w:ascii="Wingdings" w:hAnsi="Wingdings"/>
      </w:rPr>
    </w:lvl>
    <w:lvl w:ilvl="5" w:tentative="0">
      <w:start w:val="1"/>
      <w:numFmt w:val="bullet"/>
      <w:lvlText w:val=""/>
      <w:lvlJc w:val="left"/>
      <w:pPr>
        <w:tabs>
          <w:tab w:val="left" w:pos="3600"/>
        </w:tabs>
        <w:ind w:left="3960" w:hanging="360"/>
      </w:pPr>
      <w:rPr>
        <w:rFonts w:hint="default" w:ascii="Symbol" w:hAnsi="Symbol"/>
      </w:rPr>
    </w:lvl>
    <w:lvl w:ilvl="6" w:tentative="0">
      <w:start w:val="1"/>
      <w:numFmt w:val="bullet"/>
      <w:lvlText w:val="o"/>
      <w:lvlJc w:val="left"/>
      <w:pPr>
        <w:tabs>
          <w:tab w:val="left" w:pos="4320"/>
        </w:tabs>
        <w:ind w:left="4680" w:hanging="360"/>
      </w:pPr>
      <w:rPr>
        <w:rFonts w:hint="default" w:ascii="Courier New" w:hAnsi="Courier New" w:cs="Courier New"/>
      </w:rPr>
    </w:lvl>
    <w:lvl w:ilvl="7" w:tentative="0">
      <w:start w:val="1"/>
      <w:numFmt w:val="bullet"/>
      <w:lvlText w:val=""/>
      <w:lvlJc w:val="left"/>
      <w:pPr>
        <w:tabs>
          <w:tab w:val="left" w:pos="5040"/>
        </w:tabs>
        <w:ind w:left="5400" w:hanging="360"/>
      </w:pPr>
      <w:rPr>
        <w:rFonts w:hint="default" w:ascii="Wingdings" w:hAnsi="Wingdings"/>
      </w:rPr>
    </w:lvl>
    <w:lvl w:ilvl="8" w:tentative="0">
      <w:start w:val="1"/>
      <w:numFmt w:val="bullet"/>
      <w:lvlText w:val=""/>
      <w:lvlJc w:val="left"/>
      <w:pPr>
        <w:tabs>
          <w:tab w:val="left" w:pos="5760"/>
        </w:tabs>
        <w:ind w:left="6120" w:hanging="360"/>
      </w:pPr>
      <w:rPr>
        <w:rFonts w:hint="default" w:ascii="Wingdings" w:hAnsi="Wingdings"/>
      </w:rPr>
    </w:lvl>
  </w:abstractNum>
  <w:abstractNum w:abstractNumId="3">
    <w:nsid w:val="0FF881C7"/>
    <w:multiLevelType w:val="singleLevel"/>
    <w:tmpl w:val="0FF881C7"/>
    <w:lvl w:ilvl="0" w:tentative="0">
      <w:start w:val="1"/>
      <w:numFmt w:val="decimal"/>
      <w:suff w:val="nothing"/>
      <w:lvlText w:val="（%1）"/>
      <w:lvlJc w:val="left"/>
    </w:lvl>
  </w:abstractNum>
  <w:abstractNum w:abstractNumId="4">
    <w:nsid w:val="714EF9A3"/>
    <w:multiLevelType w:val="singleLevel"/>
    <w:tmpl w:val="714EF9A3"/>
    <w:lvl w:ilvl="0" w:tentative="0">
      <w:start w:val="2"/>
      <w:numFmt w:val="decimal"/>
      <w:suff w:val="nothing"/>
      <w:lvlText w:val="%1、"/>
      <w:lvlJc w:val="left"/>
      <w:pPr>
        <w:ind w:left="90" w:leftChars="0" w:firstLine="0" w:firstLineChars="0"/>
      </w:pPr>
    </w:lvl>
  </w:abstractNum>
  <w:abstractNum w:abstractNumId="5">
    <w:nsid w:val="7516EE31"/>
    <w:multiLevelType w:val="singleLevel"/>
    <w:tmpl w:val="7516EE31"/>
    <w:lvl w:ilvl="0" w:tentative="0">
      <w:start w:val="1"/>
      <w:numFmt w:val="decimal"/>
      <w:lvlText w:val="(%1)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mMTIzODA2N2Y4ODI2OTBkZjk4MWVjMDVmMGJkZmEifQ=="/>
  </w:docVars>
  <w:rsids>
    <w:rsidRoot w:val="00D96050"/>
    <w:rsid w:val="005C5909"/>
    <w:rsid w:val="005F1C07"/>
    <w:rsid w:val="006118E4"/>
    <w:rsid w:val="00665D4F"/>
    <w:rsid w:val="00846BED"/>
    <w:rsid w:val="00B70DBF"/>
    <w:rsid w:val="00D3705A"/>
    <w:rsid w:val="00D96050"/>
    <w:rsid w:val="00E02E99"/>
    <w:rsid w:val="01184C9C"/>
    <w:rsid w:val="01433871"/>
    <w:rsid w:val="01EB4145"/>
    <w:rsid w:val="0200544B"/>
    <w:rsid w:val="0206646F"/>
    <w:rsid w:val="02E7731D"/>
    <w:rsid w:val="034905DC"/>
    <w:rsid w:val="035633E7"/>
    <w:rsid w:val="05772CEB"/>
    <w:rsid w:val="05AA3EBB"/>
    <w:rsid w:val="05B82C13"/>
    <w:rsid w:val="06C93112"/>
    <w:rsid w:val="08A70791"/>
    <w:rsid w:val="0A2E7F1E"/>
    <w:rsid w:val="0A34051E"/>
    <w:rsid w:val="0AC663A4"/>
    <w:rsid w:val="0CA87AAD"/>
    <w:rsid w:val="0CEA035F"/>
    <w:rsid w:val="0D954460"/>
    <w:rsid w:val="0F4B7061"/>
    <w:rsid w:val="105072DE"/>
    <w:rsid w:val="12124CBC"/>
    <w:rsid w:val="123C01D0"/>
    <w:rsid w:val="12E97B64"/>
    <w:rsid w:val="1347228F"/>
    <w:rsid w:val="13DF24DE"/>
    <w:rsid w:val="13F53078"/>
    <w:rsid w:val="150D310A"/>
    <w:rsid w:val="15204125"/>
    <w:rsid w:val="15535B23"/>
    <w:rsid w:val="156C652D"/>
    <w:rsid w:val="16A14D6E"/>
    <w:rsid w:val="16E420E6"/>
    <w:rsid w:val="176F1C02"/>
    <w:rsid w:val="179B72B4"/>
    <w:rsid w:val="17AE0704"/>
    <w:rsid w:val="17DA572A"/>
    <w:rsid w:val="1860715D"/>
    <w:rsid w:val="193B1D02"/>
    <w:rsid w:val="19564474"/>
    <w:rsid w:val="1BA37980"/>
    <w:rsid w:val="1C0F4EF3"/>
    <w:rsid w:val="1C175353"/>
    <w:rsid w:val="1CE81F1F"/>
    <w:rsid w:val="1D6D7456"/>
    <w:rsid w:val="1D842400"/>
    <w:rsid w:val="1DA60A9C"/>
    <w:rsid w:val="1E226DBF"/>
    <w:rsid w:val="1E5352EE"/>
    <w:rsid w:val="1E834DB7"/>
    <w:rsid w:val="1EDA3A3F"/>
    <w:rsid w:val="1F0D6B0B"/>
    <w:rsid w:val="1F830DC1"/>
    <w:rsid w:val="1F8C0F25"/>
    <w:rsid w:val="219C7E2B"/>
    <w:rsid w:val="22E20815"/>
    <w:rsid w:val="23250D8E"/>
    <w:rsid w:val="23AE20DF"/>
    <w:rsid w:val="23F56852"/>
    <w:rsid w:val="24990317"/>
    <w:rsid w:val="25EE16C9"/>
    <w:rsid w:val="26D35A68"/>
    <w:rsid w:val="27374160"/>
    <w:rsid w:val="27495306"/>
    <w:rsid w:val="274C6DBA"/>
    <w:rsid w:val="275F799B"/>
    <w:rsid w:val="27FF6728"/>
    <w:rsid w:val="28B30D57"/>
    <w:rsid w:val="28B93FBE"/>
    <w:rsid w:val="28FE68FE"/>
    <w:rsid w:val="290301D3"/>
    <w:rsid w:val="29BD45DE"/>
    <w:rsid w:val="2A10351F"/>
    <w:rsid w:val="2A3A4AC6"/>
    <w:rsid w:val="2BAC66B6"/>
    <w:rsid w:val="2C1B1DC8"/>
    <w:rsid w:val="2CF50FE0"/>
    <w:rsid w:val="2D810438"/>
    <w:rsid w:val="2DDE56DB"/>
    <w:rsid w:val="2E512892"/>
    <w:rsid w:val="2EB13BD6"/>
    <w:rsid w:val="2EF67FCD"/>
    <w:rsid w:val="2F57132F"/>
    <w:rsid w:val="2F69395C"/>
    <w:rsid w:val="2FB70D17"/>
    <w:rsid w:val="2FBB140E"/>
    <w:rsid w:val="3024737C"/>
    <w:rsid w:val="315301FC"/>
    <w:rsid w:val="317916DC"/>
    <w:rsid w:val="319D37D6"/>
    <w:rsid w:val="31C5188E"/>
    <w:rsid w:val="32B600DD"/>
    <w:rsid w:val="33990262"/>
    <w:rsid w:val="33B10335"/>
    <w:rsid w:val="35851BB7"/>
    <w:rsid w:val="38AA610E"/>
    <w:rsid w:val="392A766B"/>
    <w:rsid w:val="3B3D240F"/>
    <w:rsid w:val="3CA32879"/>
    <w:rsid w:val="3EDB5211"/>
    <w:rsid w:val="3EF766CA"/>
    <w:rsid w:val="3F8C47DE"/>
    <w:rsid w:val="3FE87860"/>
    <w:rsid w:val="403E4EE8"/>
    <w:rsid w:val="40774428"/>
    <w:rsid w:val="42016E23"/>
    <w:rsid w:val="42113060"/>
    <w:rsid w:val="424A1CA5"/>
    <w:rsid w:val="42F21820"/>
    <w:rsid w:val="437314F2"/>
    <w:rsid w:val="438F1F09"/>
    <w:rsid w:val="455C26A8"/>
    <w:rsid w:val="45737407"/>
    <w:rsid w:val="45966F05"/>
    <w:rsid w:val="46997E9F"/>
    <w:rsid w:val="46FE56C3"/>
    <w:rsid w:val="483C592A"/>
    <w:rsid w:val="48DF1308"/>
    <w:rsid w:val="49CC202B"/>
    <w:rsid w:val="49D74009"/>
    <w:rsid w:val="4A0F67B7"/>
    <w:rsid w:val="4A7018CE"/>
    <w:rsid w:val="4AB30D1E"/>
    <w:rsid w:val="4B2B474B"/>
    <w:rsid w:val="4C195174"/>
    <w:rsid w:val="4C6006BB"/>
    <w:rsid w:val="4C9100D5"/>
    <w:rsid w:val="4D10155D"/>
    <w:rsid w:val="4D54680B"/>
    <w:rsid w:val="4E2D55AD"/>
    <w:rsid w:val="4E803174"/>
    <w:rsid w:val="4F9F7B0B"/>
    <w:rsid w:val="4FD85058"/>
    <w:rsid w:val="50D72953"/>
    <w:rsid w:val="5115623B"/>
    <w:rsid w:val="52487A49"/>
    <w:rsid w:val="5252200D"/>
    <w:rsid w:val="5372295E"/>
    <w:rsid w:val="537E05A2"/>
    <w:rsid w:val="53DB20BD"/>
    <w:rsid w:val="54F21515"/>
    <w:rsid w:val="567A35E5"/>
    <w:rsid w:val="57972AF2"/>
    <w:rsid w:val="58396445"/>
    <w:rsid w:val="585D18F6"/>
    <w:rsid w:val="586C5DAD"/>
    <w:rsid w:val="59827EE3"/>
    <w:rsid w:val="59870A55"/>
    <w:rsid w:val="59B24C03"/>
    <w:rsid w:val="59BD048F"/>
    <w:rsid w:val="59EC7B71"/>
    <w:rsid w:val="5A296A4E"/>
    <w:rsid w:val="5AB04A11"/>
    <w:rsid w:val="5B1D28BE"/>
    <w:rsid w:val="5B3C2FBB"/>
    <w:rsid w:val="5B451E0F"/>
    <w:rsid w:val="5C4D2A21"/>
    <w:rsid w:val="5CA23A9F"/>
    <w:rsid w:val="5CF21A23"/>
    <w:rsid w:val="5E47538A"/>
    <w:rsid w:val="5E4D5A44"/>
    <w:rsid w:val="5EE551ED"/>
    <w:rsid w:val="5FC2609F"/>
    <w:rsid w:val="5FC83C48"/>
    <w:rsid w:val="5FCD6842"/>
    <w:rsid w:val="60793B95"/>
    <w:rsid w:val="60964FC2"/>
    <w:rsid w:val="60AB6749"/>
    <w:rsid w:val="60E243C0"/>
    <w:rsid w:val="6131049E"/>
    <w:rsid w:val="6172212B"/>
    <w:rsid w:val="625050D5"/>
    <w:rsid w:val="626D2409"/>
    <w:rsid w:val="628933DB"/>
    <w:rsid w:val="62AE0C77"/>
    <w:rsid w:val="637F40F1"/>
    <w:rsid w:val="644C4973"/>
    <w:rsid w:val="657E4DCF"/>
    <w:rsid w:val="65A8752C"/>
    <w:rsid w:val="65AB499F"/>
    <w:rsid w:val="66544392"/>
    <w:rsid w:val="66D1139F"/>
    <w:rsid w:val="675E3736"/>
    <w:rsid w:val="6887157E"/>
    <w:rsid w:val="68AD508E"/>
    <w:rsid w:val="6A02617C"/>
    <w:rsid w:val="6C2B6455"/>
    <w:rsid w:val="6D894CFF"/>
    <w:rsid w:val="6DC701D6"/>
    <w:rsid w:val="6E425DD5"/>
    <w:rsid w:val="6E541B5D"/>
    <w:rsid w:val="6F1B16F4"/>
    <w:rsid w:val="6F2462ED"/>
    <w:rsid w:val="6FA95A49"/>
    <w:rsid w:val="71271AFA"/>
    <w:rsid w:val="713E1D2C"/>
    <w:rsid w:val="719925D6"/>
    <w:rsid w:val="739C2807"/>
    <w:rsid w:val="763562FF"/>
    <w:rsid w:val="76F04DB7"/>
    <w:rsid w:val="77036887"/>
    <w:rsid w:val="77293B90"/>
    <w:rsid w:val="77830AD8"/>
    <w:rsid w:val="77ED51C1"/>
    <w:rsid w:val="79062BEF"/>
    <w:rsid w:val="79BA6164"/>
    <w:rsid w:val="7A901DFF"/>
    <w:rsid w:val="7A915402"/>
    <w:rsid w:val="7B063D79"/>
    <w:rsid w:val="7B2525D3"/>
    <w:rsid w:val="7B3D5E01"/>
    <w:rsid w:val="7BA40D34"/>
    <w:rsid w:val="7BE97E2D"/>
    <w:rsid w:val="7C920181"/>
    <w:rsid w:val="7CD24A22"/>
    <w:rsid w:val="7D653F46"/>
    <w:rsid w:val="7E4B1699"/>
    <w:rsid w:val="7E9E2E0E"/>
    <w:rsid w:val="7EAF697F"/>
    <w:rsid w:val="7EDD7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0" w:semiHidden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qFormat="1"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qFormat="1" w:unhideWhenUsed="0" w:uiPriority="0" w:semiHidden="0" w:name="Body Text First Indent"/>
    <w:lsdException w:qFormat="1" w:uiPriority="99" w:semiHidden="0" w:name="Body Text First Indent 2"/>
    <w:lsdException w:uiPriority="0" w:name="Note Heading"/>
    <w:lsdException w:qFormat="1" w:unhideWhenUsed="0" w:uiPriority="0" w:semiHidden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qFormat="1" w:unhideWhenUsed="0" w:uiPriority="0" w:semiHidden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7">
    <w:name w:val="heading 1"/>
    <w:basedOn w:val="1"/>
    <w:next w:val="1"/>
    <w:qFormat/>
    <w:uiPriority w:val="1"/>
    <w:pPr>
      <w:numPr>
        <w:ilvl w:val="0"/>
        <w:numId w:val="1"/>
      </w:numPr>
      <w:spacing w:line="360" w:lineRule="auto"/>
      <w:outlineLvl w:val="0"/>
    </w:pPr>
    <w:rPr>
      <w:b/>
      <w:bCs/>
      <w:sz w:val="28"/>
    </w:rPr>
  </w:style>
  <w:style w:type="paragraph" w:styleId="8">
    <w:name w:val="heading 4"/>
    <w:basedOn w:val="1"/>
    <w:next w:val="9"/>
    <w:unhideWhenUsed/>
    <w:qFormat/>
    <w:uiPriority w:val="9"/>
    <w:pPr>
      <w:keepNext/>
      <w:keepLines/>
      <w:widowControl/>
      <w:spacing w:before="200" w:line="276" w:lineRule="auto"/>
      <w:jc w:val="left"/>
      <w:outlineLvl w:val="3"/>
    </w:pPr>
    <w:rPr>
      <w:rFonts w:ascii="Cambria" w:hAnsi="Cambria" w:eastAsia="宋体" w:cs="Times New Roman"/>
      <w:b/>
      <w:bCs/>
      <w:i/>
      <w:iCs/>
      <w:kern w:val="0"/>
      <w:sz w:val="22"/>
      <w:szCs w:val="22"/>
      <w:lang w:eastAsia="en-US" w:bidi="en-US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nhideWhenUsed/>
    <w:qFormat/>
    <w:uiPriority w:val="99"/>
    <w:pPr>
      <w:ind w:left="200" w:firstLine="200"/>
    </w:pPr>
    <w:rPr>
      <w:szCs w:val="24"/>
    </w:r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  <w:style w:type="paragraph" w:styleId="4">
    <w:name w:val="Body Text First Indent"/>
    <w:basedOn w:val="5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5">
    <w:name w:val="Body Text"/>
    <w:basedOn w:val="1"/>
    <w:next w:val="6"/>
    <w:qFormat/>
    <w:uiPriority w:val="0"/>
    <w:pPr>
      <w:adjustRightInd w:val="0"/>
      <w:snapToGrid w:val="0"/>
    </w:pPr>
    <w:rPr>
      <w:rFonts w:ascii="宋体" w:hAnsi="宋体"/>
      <w:kern w:val="0"/>
      <w:sz w:val="28"/>
    </w:rPr>
  </w:style>
  <w:style w:type="paragraph" w:styleId="6">
    <w:name w:val="List"/>
    <w:basedOn w:val="1"/>
    <w:qFormat/>
    <w:uiPriority w:val="0"/>
    <w:pPr>
      <w:ind w:left="420" w:hanging="420"/>
    </w:pPr>
    <w:rPr>
      <w:szCs w:val="20"/>
    </w:rPr>
  </w:style>
  <w:style w:type="paragraph" w:customStyle="1" w:styleId="9">
    <w:name w:val="样式6 正文"/>
    <w:qFormat/>
    <w:uiPriority w:val="0"/>
    <w:pPr>
      <w:widowControl w:val="0"/>
      <w:tabs>
        <w:tab w:val="left" w:pos="420"/>
      </w:tabs>
      <w:spacing w:line="360" w:lineRule="auto"/>
      <w:ind w:firstLine="482"/>
      <w:jc w:val="both"/>
    </w:pPr>
    <w:rPr>
      <w:rFonts w:ascii="Times New Roman" w:hAnsi="Times New Roman" w:eastAsia="宋体" w:cs="Times New Roman"/>
      <w:sz w:val="24"/>
      <w:szCs w:val="22"/>
      <w:lang w:val="en-US" w:eastAsia="zh-CN" w:bidi="ar-SA"/>
    </w:rPr>
  </w:style>
  <w:style w:type="paragraph" w:styleId="10">
    <w:name w:val="Normal Indent"/>
    <w:basedOn w:val="1"/>
    <w:semiHidden/>
    <w:qFormat/>
    <w:uiPriority w:val="0"/>
    <w:pPr>
      <w:adjustRightInd w:val="0"/>
      <w:snapToGrid w:val="0"/>
      <w:ind w:firstLine="420"/>
    </w:pPr>
    <w:rPr>
      <w:rFonts w:ascii="宋体" w:hAnsi="宋体"/>
      <w:kern w:val="24"/>
    </w:rPr>
  </w:style>
  <w:style w:type="paragraph" w:styleId="11">
    <w:name w:val="toc 1"/>
    <w:basedOn w:val="1"/>
    <w:next w:val="1"/>
    <w:qFormat/>
    <w:uiPriority w:val="0"/>
  </w:style>
  <w:style w:type="paragraph" w:styleId="12">
    <w:name w:val="Body Text 2"/>
    <w:basedOn w:val="1"/>
    <w:qFormat/>
    <w:uiPriority w:val="0"/>
    <w:pPr>
      <w:spacing w:after="120" w:line="480" w:lineRule="auto"/>
    </w:pPr>
    <w:rPr>
      <w:rFonts w:ascii="Times New Roman" w:hAnsi="Times New Roman" w:eastAsia="宋体" w:cs="Times New Roman"/>
      <w:szCs w:val="24"/>
    </w:rPr>
  </w:style>
  <w:style w:type="paragraph" w:styleId="13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1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6">
    <w:name w:val="Table Grid"/>
    <w:basedOn w:val="15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8">
    <w:name w:val="标书2-二级标题"/>
    <w:basedOn w:val="8"/>
    <w:next w:val="19"/>
    <w:qFormat/>
    <w:uiPriority w:val="0"/>
    <w:pPr>
      <w:numPr>
        <w:ilvl w:val="1"/>
        <w:numId w:val="2"/>
      </w:numPr>
      <w:tabs>
        <w:tab w:val="left" w:pos="360"/>
        <w:tab w:val="left" w:pos="630"/>
        <w:tab w:val="left" w:pos="848"/>
      </w:tabs>
      <w:spacing w:line="360" w:lineRule="auto"/>
      <w:outlineLvl w:val="1"/>
    </w:pPr>
    <w:rPr>
      <w:rFonts w:ascii="Times New Roman" w:hAnsi="Times New Roman"/>
      <w:color w:val="000000"/>
    </w:rPr>
  </w:style>
  <w:style w:type="paragraph" w:customStyle="1" w:styleId="19">
    <w:name w:val="标书6-正文"/>
    <w:basedOn w:val="9"/>
    <w:qFormat/>
    <w:uiPriority w:val="0"/>
    <w:pPr>
      <w:ind w:firstLine="482"/>
    </w:pPr>
    <w:rPr>
      <w:szCs w:val="20"/>
    </w:rPr>
  </w:style>
  <w:style w:type="paragraph" w:customStyle="1" w:styleId="20">
    <w:name w:val="BodyText1I"/>
    <w:basedOn w:val="21"/>
    <w:next w:val="22"/>
    <w:qFormat/>
    <w:uiPriority w:val="0"/>
    <w:pPr>
      <w:ind w:firstLine="420" w:firstLineChars="100"/>
    </w:pPr>
    <w:rPr>
      <w:rFonts w:ascii="Calibri" w:hAnsi="Calibri"/>
    </w:rPr>
  </w:style>
  <w:style w:type="paragraph" w:customStyle="1" w:styleId="21">
    <w:name w:val="BodyText"/>
    <w:basedOn w:val="1"/>
    <w:qFormat/>
    <w:uiPriority w:val="0"/>
    <w:pPr>
      <w:jc w:val="both"/>
      <w:textAlignment w:val="baseline"/>
    </w:pPr>
    <w:rPr>
      <w:rFonts w:ascii="仿宋" w:hAnsi="仿宋" w:eastAsia="宋体" w:cs="Times New Roman"/>
      <w:kern w:val="2"/>
      <w:sz w:val="32"/>
    </w:rPr>
  </w:style>
  <w:style w:type="paragraph" w:customStyle="1" w:styleId="22">
    <w:name w:val="BodyText1I2"/>
    <w:basedOn w:val="23"/>
    <w:qFormat/>
    <w:uiPriority w:val="0"/>
    <w:pPr>
      <w:ind w:firstLine="420" w:firstLineChars="200"/>
    </w:pPr>
  </w:style>
  <w:style w:type="paragraph" w:customStyle="1" w:styleId="23">
    <w:name w:val="BodyTextIndent"/>
    <w:basedOn w:val="1"/>
    <w:qFormat/>
    <w:uiPriority w:val="0"/>
    <w:pPr>
      <w:spacing w:after="120"/>
      <w:ind w:left="420" w:leftChars="200"/>
      <w:jc w:val="both"/>
      <w:textAlignment w:val="baseline"/>
    </w:pPr>
    <w:rPr>
      <w:rFonts w:ascii="Calibri" w:hAnsi="Calibri" w:eastAsia="宋体" w:cs="Times New Roman"/>
    </w:rPr>
  </w:style>
  <w:style w:type="paragraph" w:styleId="24">
    <w:name w:val="List Paragraph"/>
    <w:basedOn w:val="1"/>
    <w:qFormat/>
    <w:uiPriority w:val="34"/>
    <w:pPr>
      <w:ind w:firstLine="420" w:firstLineChars="200"/>
    </w:pPr>
  </w:style>
  <w:style w:type="character" w:customStyle="1" w:styleId="25">
    <w:name w:val="NormalCharacter"/>
    <w:qFormat/>
    <w:uiPriority w:val="0"/>
  </w:style>
  <w:style w:type="paragraph" w:customStyle="1" w:styleId="26">
    <w:name w:val="引言二级条标题"/>
    <w:basedOn w:val="27"/>
    <w:next w:val="28"/>
    <w:qFormat/>
    <w:uiPriority w:val="0"/>
    <w:pPr>
      <w:tabs>
        <w:tab w:val="left" w:pos="360"/>
        <w:tab w:val="left" w:pos="1200"/>
      </w:tabs>
      <w:ind w:left="1554" w:hanging="420"/>
    </w:pPr>
    <w:rPr>
      <w:b w:val="0"/>
    </w:rPr>
  </w:style>
  <w:style w:type="paragraph" w:customStyle="1" w:styleId="27">
    <w:name w:val="引言一级条标题"/>
    <w:basedOn w:val="1"/>
    <w:next w:val="28"/>
    <w:qFormat/>
    <w:uiPriority w:val="0"/>
    <w:pPr>
      <w:widowControl/>
      <w:tabs>
        <w:tab w:val="left" w:pos="1200"/>
      </w:tabs>
      <w:ind w:left="1200" w:hanging="720"/>
    </w:pPr>
    <w:rPr>
      <w:rFonts w:eastAsia="黑体"/>
      <w:b/>
    </w:rPr>
  </w:style>
  <w:style w:type="paragraph" w:customStyle="1" w:styleId="28">
    <w:name w:val="段"/>
    <w:qFormat/>
    <w:uiPriority w:val="0"/>
    <w:pPr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1602</Words>
  <Characters>1928</Characters>
  <Lines>12</Lines>
  <Paragraphs>3</Paragraphs>
  <TotalTime>383</TotalTime>
  <ScaleCrop>false</ScaleCrop>
  <LinksUpToDate>false</LinksUpToDate>
  <CharactersWithSpaces>2045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2023-02-26T00:10:00Z</dcterms:created>
  <dc:creator>Administrator</dc:creator>
  <cp:lastModifiedBy>愿为你停留的心</cp:lastModifiedBy>
  <cp:lastPrinted>2024-07-04T01:11:00Z</cp:lastPrinted>
  <dcterms:modified xsi:type="dcterms:W3CDTF">2024-11-18T10:50:45Z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7D5372FADD534AE5AFC66784C4F07DE9_13</vt:lpwstr>
  </property>
</Properties>
</file>