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1B4A2D3">
      <w:pPr>
        <w:pStyle w:val="16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会议纪要</w:t>
      </w:r>
    </w:p>
    <w:p w14:paraId="7CD143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 xml:space="preserve"> 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 xml:space="preserve"> </w:t>
      </w:r>
    </w:p>
    <w:p w14:paraId="7CAC0C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1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 xml:space="preserve">                                                      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编号：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1282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ZHYS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-HY-00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6</w:t>
      </w:r>
    </w:p>
    <w:p w14:paraId="3D3473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textAlignment w:val="auto"/>
        <w:rPr>
          <w:rFonts w:hint="eastAsia" w:ascii="宋体" w:hAnsi="宋体" w:eastAsia="宋体"/>
          <w:sz w:val="24"/>
          <w:lang w:val="en-US" w:eastAsia="zh-CN"/>
        </w:rPr>
      </w:pPr>
      <w:r>
        <w:rPr>
          <w:rFonts w:hint="eastAsia"/>
          <w:kern w:val="21"/>
          <w:sz w:val="24"/>
          <w:szCs w:val="24"/>
        </w:rPr>
        <w:t>签发：</w:t>
      </w:r>
    </w:p>
    <w:tbl>
      <w:tblPr>
        <w:tblStyle w:val="10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8"/>
        <w:gridCol w:w="253"/>
        <w:gridCol w:w="3420"/>
        <w:gridCol w:w="976"/>
        <w:gridCol w:w="3519"/>
      </w:tblGrid>
      <w:tr w14:paraId="034B8C3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1" w:type="dxa"/>
            <w:gridSpan w:val="2"/>
            <w:tcMar>
              <w:left w:w="0" w:type="dxa"/>
              <w:right w:w="0" w:type="dxa"/>
            </w:tcMar>
            <w:vAlign w:val="center"/>
          </w:tcPr>
          <w:p w14:paraId="70738BF1">
            <w:pPr>
              <w:spacing w:line="360" w:lineRule="auto"/>
              <w:ind w:firstLine="241" w:firstLineChars="100"/>
              <w:jc w:val="both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会议地点</w:t>
            </w:r>
          </w:p>
        </w:tc>
        <w:tc>
          <w:tcPr>
            <w:tcW w:w="3420" w:type="dxa"/>
            <w:tcMar>
              <w:left w:w="0" w:type="dxa"/>
              <w:right w:w="0" w:type="dxa"/>
            </w:tcMar>
            <w:vAlign w:val="center"/>
          </w:tcPr>
          <w:p w14:paraId="34D34B4F"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kern w:val="21"/>
                <w:sz w:val="24"/>
                <w:lang w:val="en-US" w:eastAsia="zh-CN"/>
              </w:rPr>
              <w:t>中华印刷项目</w:t>
            </w:r>
            <w:r>
              <w:rPr>
                <w:rFonts w:hint="eastAsia" w:ascii="宋体" w:hAnsi="宋体"/>
                <w:kern w:val="21"/>
                <w:sz w:val="24"/>
              </w:rPr>
              <w:t>会议室</w:t>
            </w:r>
          </w:p>
        </w:tc>
        <w:tc>
          <w:tcPr>
            <w:tcW w:w="976" w:type="dxa"/>
            <w:tcMar>
              <w:left w:w="0" w:type="dxa"/>
              <w:right w:w="0" w:type="dxa"/>
            </w:tcMar>
            <w:vAlign w:val="center"/>
          </w:tcPr>
          <w:p w14:paraId="29A867E9"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会议时间</w:t>
            </w:r>
          </w:p>
        </w:tc>
        <w:tc>
          <w:tcPr>
            <w:tcW w:w="3519" w:type="dxa"/>
            <w:tcMar>
              <w:left w:w="0" w:type="dxa"/>
              <w:right w:w="0" w:type="dxa"/>
            </w:tcMar>
            <w:vAlign w:val="center"/>
          </w:tcPr>
          <w:p w14:paraId="0BBE05F0"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20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24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09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13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  <w:tr w14:paraId="2670927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1" w:type="dxa"/>
            <w:gridSpan w:val="2"/>
            <w:tcMar>
              <w:left w:w="0" w:type="dxa"/>
              <w:right w:w="0" w:type="dxa"/>
            </w:tcMar>
            <w:vAlign w:val="center"/>
          </w:tcPr>
          <w:p w14:paraId="2567F7D3"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会议主持人</w:t>
            </w:r>
          </w:p>
        </w:tc>
        <w:tc>
          <w:tcPr>
            <w:tcW w:w="7915" w:type="dxa"/>
            <w:gridSpan w:val="3"/>
            <w:tcMar>
              <w:left w:w="0" w:type="dxa"/>
              <w:right w:w="0" w:type="dxa"/>
            </w:tcMar>
            <w:vAlign w:val="center"/>
          </w:tcPr>
          <w:p w14:paraId="23E8D289">
            <w:pPr>
              <w:spacing w:line="360" w:lineRule="auto"/>
              <w:rPr>
                <w:rFonts w:hint="eastAsia" w:ascii="宋体" w:hAnsi="宋体" w:eastAsia="宋体"/>
                <w:kern w:val="18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18"/>
                <w:sz w:val="24"/>
              </w:rPr>
              <w:t xml:space="preserve">                      </w:t>
            </w:r>
            <w:r>
              <w:rPr>
                <w:rFonts w:hint="eastAsia" w:ascii="宋体" w:hAnsi="宋体"/>
                <w:kern w:val="18"/>
                <w:sz w:val="24"/>
                <w:lang w:val="en-US" w:eastAsia="zh-CN"/>
              </w:rPr>
              <w:t>张  杰</w:t>
            </w:r>
          </w:p>
        </w:tc>
      </w:tr>
      <w:tr w14:paraId="7A2F8B0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366" w:type="dxa"/>
            <w:gridSpan w:val="5"/>
            <w:tcMar>
              <w:left w:w="0" w:type="dxa"/>
              <w:right w:w="0" w:type="dxa"/>
            </w:tcMar>
          </w:tcPr>
          <w:p w14:paraId="46632651">
            <w:pPr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会议主题：</w:t>
            </w:r>
            <w:r>
              <w:rPr>
                <w:rFonts w:hint="eastAsia" w:ascii="宋体"/>
                <w:sz w:val="24"/>
              </w:rPr>
              <w:t>工程</w:t>
            </w:r>
            <w:r>
              <w:rPr>
                <w:rFonts w:hint="eastAsia" w:ascii="宋体"/>
                <w:sz w:val="24"/>
                <w:lang w:val="en-US" w:eastAsia="zh-CN"/>
              </w:rPr>
              <w:t>安全、</w:t>
            </w:r>
            <w:r>
              <w:rPr>
                <w:rFonts w:hint="eastAsia" w:ascii="宋体"/>
                <w:sz w:val="24"/>
              </w:rPr>
              <w:t>质量</w:t>
            </w:r>
            <w:r>
              <w:rPr>
                <w:rFonts w:hint="eastAsia" w:ascii="宋体"/>
                <w:sz w:val="24"/>
                <w:lang w:eastAsia="zh-CN"/>
              </w:rPr>
              <w:t>、</w:t>
            </w:r>
            <w:r>
              <w:rPr>
                <w:rFonts w:hint="eastAsia" w:ascii="宋体"/>
                <w:sz w:val="24"/>
              </w:rPr>
              <w:t>进度例会</w:t>
            </w:r>
          </w:p>
        </w:tc>
      </w:tr>
      <w:tr w14:paraId="1DECA6D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9" w:hRule="atLeast"/>
        </w:trPr>
        <w:tc>
          <w:tcPr>
            <w:tcW w:w="9366" w:type="dxa"/>
            <w:gridSpan w:val="5"/>
            <w:tcMar>
              <w:left w:w="0" w:type="dxa"/>
              <w:right w:w="0" w:type="dxa"/>
            </w:tcMar>
          </w:tcPr>
          <w:p w14:paraId="2016A55B">
            <w:pPr>
              <w:spacing w:line="360" w:lineRule="auto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本次会议内容：</w:t>
            </w:r>
          </w:p>
          <w:p w14:paraId="19F958A0">
            <w:pPr>
              <w:pStyle w:val="17"/>
              <w:ind w:firstLine="0" w:firstLineChars="0"/>
              <w:rPr>
                <w:rFonts w:hint="eastAsia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施工单位：</w:t>
            </w:r>
          </w:p>
          <w:p w14:paraId="7F6258CD">
            <w:pPr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本周：</w:t>
            </w:r>
          </w:p>
          <w:p w14:paraId="3B217FA3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1、主要组件散料吊装 目前小屋面组件完成量70％</w:t>
            </w:r>
          </w:p>
          <w:p w14:paraId="1BFDE8BB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2、直流电缆敷设穿管</w:t>
            </w:r>
          </w:p>
          <w:p w14:paraId="1AC6C646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3、MC4插头及光伏线缆的成品保护</w:t>
            </w:r>
          </w:p>
          <w:p w14:paraId="446AC182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4、纳规函已完成，后期主要对接供电公司</w:t>
            </w:r>
          </w:p>
          <w:p w14:paraId="478AD053">
            <w:pP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下周：</w:t>
            </w:r>
          </w:p>
          <w:p w14:paraId="6FAB3314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1、组件安装</w:t>
            </w:r>
          </w:p>
          <w:p w14:paraId="74AE9DE8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2、破路埋管</w:t>
            </w:r>
          </w:p>
          <w:p w14:paraId="23347BC1">
            <w:pP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到货：</w:t>
            </w:r>
          </w:p>
          <w:p w14:paraId="6CE1DA02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1、9.20-9.22 组件全部到货</w:t>
            </w:r>
          </w:p>
          <w:p w14:paraId="7A663EB0">
            <w:pPr>
              <w:ind w:firstLine="240" w:firstLineChars="100"/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2、9.18-9.22 逆变器到货</w:t>
            </w:r>
          </w:p>
          <w:p w14:paraId="5B73B223">
            <w:pPr>
              <w:numPr>
                <w:ilvl w:val="0"/>
                <w:numId w:val="0"/>
              </w:numPr>
              <w:ind w:leftChars="0" w:firstLine="240" w:firstLineChars="100"/>
              <w:jc w:val="both"/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3、并网柜和集电柜 预计</w:t>
            </w:r>
            <w:bookmarkStart w:id="0" w:name="_GoBack"/>
            <w:bookmarkEnd w:id="0"/>
            <w:r>
              <w:rPr>
                <w:rFonts w:hint="eastAsia" w:ascii="新宋体" w:hAnsi="新宋体" w:eastAsia="新宋体" w:cs="新宋体"/>
                <w:sz w:val="24"/>
                <w:szCs w:val="24"/>
                <w:lang w:eastAsia="zh-CN"/>
              </w:rPr>
              <w:t>9.16-17号到货</w:t>
            </w:r>
          </w:p>
          <w:p w14:paraId="0AB76D7B">
            <w:pPr>
              <w:spacing w:line="360" w:lineRule="auto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监理项目部</w:t>
            </w:r>
            <w:r>
              <w:rPr>
                <w:rFonts w:hint="eastAsia" w:ascii="宋体" w:hAnsi="宋体"/>
                <w:sz w:val="24"/>
                <w:szCs w:val="24"/>
              </w:rPr>
              <w:t>：</w:t>
            </w:r>
          </w:p>
          <w:p w14:paraId="40A863A9">
            <w:pPr>
              <w:spacing w:line="360" w:lineRule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现场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近期施工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进度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、质量、安全情况</w:t>
            </w:r>
          </w:p>
          <w:p w14:paraId="355E6FAA">
            <w:pPr>
              <w:pStyle w:val="20"/>
              <w:spacing w:line="360" w:lineRule="auto"/>
              <w:ind w:left="0" w:leftChars="0" w:firstLine="240" w:firstLineChars="100"/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1、</w:t>
            </w:r>
            <w:r>
              <w:rPr>
                <w:rFonts w:hint="eastAsia" w:ascii="宋体" w:hAnsi="宋体"/>
                <w:b w:val="0"/>
                <w:bCs/>
                <w:sz w:val="24"/>
                <w:szCs w:val="24"/>
                <w:lang w:val="en-US" w:eastAsia="zh-CN"/>
              </w:rPr>
              <w:t>做好防台防汛措施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-8"/>
                <w:sz w:val="24"/>
                <w:szCs w:val="24"/>
                <w:lang w:eastAsia="zh-CN"/>
              </w:rPr>
              <w:t>做好项目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-9"/>
                <w:sz w:val="24"/>
                <w:szCs w:val="24"/>
                <w:lang w:eastAsia="zh-CN"/>
              </w:rPr>
              <w:t>部中秋节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-3"/>
                <w:sz w:val="24"/>
                <w:szCs w:val="24"/>
                <w:lang w:eastAsia="zh-CN"/>
              </w:rPr>
              <w:t>放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1"/>
                <w:sz w:val="24"/>
                <w:szCs w:val="24"/>
                <w:lang w:eastAsia="zh-CN"/>
              </w:rPr>
              <w:t>假期间有关工作，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-2"/>
                <w:sz w:val="24"/>
                <w:szCs w:val="24"/>
                <w:lang w:eastAsia="zh-CN"/>
              </w:rPr>
              <w:t>对施工现场安全文明施工、防火防盗、设备防护等工作进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-1"/>
                <w:sz w:val="24"/>
                <w:szCs w:val="24"/>
                <w:lang w:eastAsia="zh-CN"/>
              </w:rPr>
              <w:t>行针对性的专项检查，认真排查项目施工现场可能存在的安全风险和薄弱环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pacing w:val="-3"/>
                <w:sz w:val="24"/>
                <w:szCs w:val="24"/>
                <w:lang w:eastAsia="zh-CN"/>
              </w:rPr>
              <w:t>节，对存在的问题制定针对性措施落实整改；</w:t>
            </w:r>
          </w:p>
          <w:p w14:paraId="4394B5A7">
            <w:pPr>
              <w:numPr>
                <w:ilvl w:val="0"/>
                <w:numId w:val="0"/>
              </w:numPr>
              <w:ind w:firstLine="240" w:firstLineChars="100"/>
              <w:jc w:val="left"/>
              <w:rPr>
                <w:rFonts w:hint="eastAsia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2"/>
                <w:sz w:val="24"/>
                <w:szCs w:val="24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施工人员劳动合同与人身工伤保险日期不相符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；</w:t>
            </w:r>
            <w:r>
              <w:rPr>
                <w:rFonts w:hint="eastAsia"/>
                <w:sz w:val="24"/>
                <w:szCs w:val="24"/>
                <w:highlight w:val="none"/>
                <w:lang w:val="en-US" w:eastAsia="zh-CN"/>
              </w:rPr>
              <w:t>劳动合同未见法人敲章且为扫描件，合同为扫描件，只有扫描章未见法人签字；乙方为个人签字；合同签署不规范。</w:t>
            </w:r>
          </w:p>
          <w:p w14:paraId="107DF7FE">
            <w:pPr>
              <w:ind w:firstLine="240" w:firstLineChars="100"/>
              <w:jc w:val="left"/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3、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  <w:t>三级教育未签字，公司级教育未完成 ；</w:t>
            </w:r>
          </w:p>
          <w:p w14:paraId="604427B2">
            <w:pPr>
              <w:pStyle w:val="2"/>
              <w:rPr>
                <w:rFonts w:hint="eastAsia" w:ascii="新宋体" w:hAnsi="新宋体" w:eastAsia="新宋体" w:cs="新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体检数据不真实；</w:t>
            </w:r>
            <w:r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  <w:t>五牌一图有空白，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  <w:t>完善五牌一图信息</w:t>
            </w:r>
            <w:r>
              <w:rPr>
                <w:rFonts w:hint="eastAsia" w:ascii="新宋体" w:hAnsi="新宋体" w:eastAsia="新宋体" w:cs="新宋体"/>
                <w:b/>
                <w:bCs/>
                <w:sz w:val="24"/>
                <w:szCs w:val="24"/>
                <w:lang w:val="en-US" w:eastAsia="zh-CN"/>
              </w:rPr>
              <w:t>。</w:t>
            </w:r>
          </w:p>
          <w:p w14:paraId="1CA892DA">
            <w:pPr>
              <w:pStyle w:val="2"/>
              <w:rPr>
                <w:rFonts w:hint="eastAsia" w:ascii="新宋体" w:hAnsi="新宋体" w:eastAsia="新宋体" w:cs="新宋体"/>
                <w:b w:val="0"/>
                <w:bCs w:val="0"/>
                <w:color w:val="000000" w:themeColor="text1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  <w:t>5、</w:t>
            </w:r>
            <w:r>
              <w:rPr>
                <w:rFonts w:hint="eastAsia" w:ascii="新宋体" w:hAnsi="新宋体" w:eastAsia="新宋体" w:cs="新宋体"/>
                <w:b w:val="0"/>
                <w:bCs w:val="0"/>
                <w:color w:val="000000" w:themeColor="text1"/>
                <w:sz w:val="24"/>
                <w:szCs w:val="24"/>
                <w:highlight w:val="none"/>
                <w:lang w:val="en-US" w:eastAsia="zh-CN"/>
              </w:rPr>
              <w:t>临时用电不规范，电缆过防火门，未做任何措施电缆现已破损；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临时配电箱配置不规范；</w:t>
            </w:r>
          </w:p>
          <w:p w14:paraId="2446A0C8">
            <w:pPr>
              <w:pStyle w:val="2"/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 w:themeColor="text1"/>
                <w:sz w:val="24"/>
                <w:szCs w:val="24"/>
                <w:highlight w:val="none"/>
                <w:lang w:val="en-US" w:eastAsia="zh-CN"/>
              </w:rPr>
              <w:t>6、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光伏组件散料不规范，重叠放置现象有损伤组件的风险</w:t>
            </w:r>
            <w:r>
              <w:rPr>
                <w:rFonts w:hint="eastAsia" w:ascii="新宋体" w:hAnsi="新宋体" w:eastAsia="新宋体" w:cs="新宋体"/>
                <w:b w:val="0"/>
                <w:bCs w:val="0"/>
                <w:color w:val="000000" w:themeColor="text1"/>
                <w:sz w:val="24"/>
                <w:szCs w:val="24"/>
                <w:highlight w:val="none"/>
                <w:lang w:val="en-US" w:eastAsia="zh-CN"/>
              </w:rPr>
              <w:t>；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MC4未做防护措施；</w:t>
            </w:r>
          </w:p>
          <w:p w14:paraId="196058F3">
            <w:pPr>
              <w:pStyle w:val="2"/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7、</w:t>
            </w:r>
            <w:r>
              <w:rPr>
                <w:rFonts w:hint="eastAsia" w:ascii="新宋体" w:hAnsi="新宋体" w:eastAsia="新宋体" w:cs="新宋体"/>
                <w:b w:val="0"/>
                <w:bCs w:val="0"/>
                <w:sz w:val="24"/>
                <w:szCs w:val="24"/>
                <w:lang w:val="en-US" w:eastAsia="zh-CN"/>
              </w:rPr>
              <w:t>直流线梯型桥架与屋面未隔离需垫高或加绝缘底板；</w:t>
            </w:r>
            <w:r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  <w:t>临边防护不到位，转角需延伸封闭；</w:t>
            </w:r>
          </w:p>
          <w:p w14:paraId="64CE51F6">
            <w:pPr>
              <w:pStyle w:val="2"/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  <w:t>8、楼梯平台出口处安装不合理，要求与屋面检修通道连接；楼梯爬梯制作不合理要求加宽并加格栅板；</w:t>
            </w:r>
          </w:p>
          <w:p w14:paraId="564C2921">
            <w:pPr>
              <w:pStyle w:val="2"/>
              <w:rPr>
                <w:rFonts w:hint="eastAsia" w:ascii="新宋体" w:hAnsi="新宋体" w:eastAsia="新宋体" w:cs="新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  <w:t>9、</w:t>
            </w:r>
            <w:r>
              <w:rPr>
                <w:rFonts w:hint="eastAsia" w:ascii="新宋体" w:hAnsi="新宋体" w:eastAsia="新宋体" w:cs="新宋体"/>
                <w:sz w:val="24"/>
                <w:szCs w:val="24"/>
                <w:highlight w:val="none"/>
                <w:lang w:val="en-US" w:eastAsia="zh-CN"/>
              </w:rPr>
              <w:t>过桥直流线套管踩扁，做好成品保护措施；</w:t>
            </w:r>
          </w:p>
          <w:p w14:paraId="6C4FDC0D">
            <w:pPr>
              <w:pStyle w:val="2"/>
              <w:rPr>
                <w:rFonts w:hint="eastAsia" w:ascii="新宋体" w:hAnsi="新宋体" w:eastAsia="新宋体" w:cs="新宋体"/>
                <w:color w:val="000000" w:themeColor="text1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highlight w:val="none"/>
                <w:lang w:val="en-US" w:eastAsia="zh-CN"/>
              </w:rPr>
              <w:t>10、</w:t>
            </w: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highlight w:val="none"/>
                <w:lang w:val="en-US" w:eastAsia="zh-CN"/>
              </w:rPr>
              <w:t>现场包装物、垃圾未及时清理，异常天气下有损伤组件的风险；</w:t>
            </w:r>
            <w:r>
              <w:rPr>
                <w:rFonts w:hint="eastAsia" w:ascii="新宋体" w:hAnsi="新宋体" w:eastAsia="新宋体" w:cs="新宋体"/>
                <w:color w:val="000000" w:themeColor="text1"/>
                <w:sz w:val="24"/>
                <w:szCs w:val="24"/>
                <w:highlight w:val="none"/>
                <w:lang w:val="en-US" w:eastAsia="zh-CN"/>
              </w:rPr>
              <w:t>严格作业现场工完料净场地清；</w:t>
            </w:r>
          </w:p>
          <w:p w14:paraId="1ABD1F5C">
            <w:pPr>
              <w:pStyle w:val="2"/>
              <w:rPr>
                <w:rFonts w:hint="eastAsia" w:ascii="新宋体" w:hAnsi="新宋体" w:eastAsia="新宋体" w:cs="新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000000" w:themeColor="text1"/>
                <w:sz w:val="24"/>
                <w:szCs w:val="24"/>
                <w:highlight w:val="none"/>
                <w:lang w:val="en-US" w:eastAsia="zh-CN"/>
              </w:rPr>
              <w:t>11、</w:t>
            </w:r>
            <w:r>
              <w:rPr>
                <w:rFonts w:hint="eastAsia" w:ascii="新宋体" w:hAnsi="新宋体" w:eastAsia="新宋体" w:cs="新宋体"/>
                <w:sz w:val="24"/>
                <w:szCs w:val="24"/>
                <w:highlight w:val="none"/>
                <w:lang w:val="en-US" w:eastAsia="zh-CN"/>
              </w:rPr>
              <w:t>直流电缆两种品牌在现场使用，造成现场同一组串、方阵有不同品牌直流电缆，限期整改杜绝此类现象。其他主材（组件、逆变器等）也要杜绝此类现象。</w:t>
            </w:r>
          </w:p>
          <w:p w14:paraId="1D28CB25">
            <w:pPr>
              <w:spacing w:line="360" w:lineRule="auto"/>
              <w:rPr>
                <w:rFonts w:hint="eastAsia"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业主项目部：</w:t>
            </w:r>
          </w:p>
          <w:p w14:paraId="145C828E">
            <w:pPr>
              <w:spacing w:line="360" w:lineRule="auto"/>
              <w:rPr>
                <w:rFonts w:hint="default" w:ascii="宋体" w:hAnsi="宋体" w:eastAsia="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b w:val="0"/>
                <w:bCs/>
                <w:sz w:val="24"/>
                <w:szCs w:val="24"/>
                <w:lang w:val="en-US" w:eastAsia="zh-CN"/>
              </w:rPr>
              <w:t>1、现场做好防台防汛措施；</w:t>
            </w:r>
          </w:p>
          <w:p w14:paraId="5563DCA7">
            <w:pPr>
              <w:spacing w:line="360" w:lineRule="auto"/>
              <w:ind w:firstLine="480" w:firstLineChars="200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、请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施工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方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严格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按照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监理方提出的问题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和要求施工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、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整改，确保工程质量以及人员安全。</w:t>
            </w:r>
          </w:p>
          <w:p w14:paraId="29ACE4F8">
            <w:pPr>
              <w:spacing w:line="360" w:lineRule="auto"/>
              <w:ind w:firstLine="480" w:firstLineChars="200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对施工现场进行不定期隐患排查，对查出的问题要限时整改。</w:t>
            </w:r>
          </w:p>
          <w:p w14:paraId="5655E3A7">
            <w:pPr>
              <w:spacing w:line="360" w:lineRule="auto"/>
              <w:ind w:firstLine="480" w:firstLineChars="200"/>
              <w:rPr>
                <w:sz w:val="24"/>
                <w:szCs w:val="24"/>
              </w:rPr>
            </w:pPr>
          </w:p>
        </w:tc>
      </w:tr>
      <w:tr w14:paraId="7EA8E81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 w14:paraId="16B1A961">
            <w:pPr>
              <w:spacing w:line="360" w:lineRule="auto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主送单位</w:t>
            </w:r>
          </w:p>
        </w:tc>
        <w:tc>
          <w:tcPr>
            <w:tcW w:w="8168" w:type="dxa"/>
            <w:gridSpan w:val="4"/>
            <w:tcMar>
              <w:left w:w="0" w:type="dxa"/>
              <w:right w:w="0" w:type="dxa"/>
            </w:tcMar>
            <w:vAlign w:val="center"/>
          </w:tcPr>
          <w:p w14:paraId="6E12EB11">
            <w:pPr>
              <w:spacing w:line="360" w:lineRule="auto"/>
              <w:jc w:val="both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</w:tr>
      <w:tr w14:paraId="0619B48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 w14:paraId="482CAFC9">
            <w:pPr>
              <w:spacing w:line="360" w:lineRule="auto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抄送单位</w:t>
            </w:r>
          </w:p>
        </w:tc>
        <w:tc>
          <w:tcPr>
            <w:tcW w:w="8168" w:type="dxa"/>
            <w:gridSpan w:val="4"/>
            <w:tcMar>
              <w:left w:w="0" w:type="dxa"/>
              <w:right w:w="0" w:type="dxa"/>
            </w:tcMar>
            <w:vAlign w:val="center"/>
          </w:tcPr>
          <w:p w14:paraId="2DE69593">
            <w:pPr>
              <w:spacing w:line="360" w:lineRule="auto"/>
              <w:jc w:val="both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上海上电浦弘新能源科技有限公司</w:t>
            </w:r>
          </w:p>
        </w:tc>
      </w:tr>
      <w:tr w14:paraId="5605E0C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 w14:paraId="26059E48">
            <w:pPr>
              <w:spacing w:line="360" w:lineRule="auto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发文单位</w:t>
            </w:r>
          </w:p>
        </w:tc>
        <w:tc>
          <w:tcPr>
            <w:tcW w:w="3673" w:type="dxa"/>
            <w:gridSpan w:val="2"/>
            <w:tcMar>
              <w:left w:w="0" w:type="dxa"/>
              <w:right w:w="0" w:type="dxa"/>
            </w:tcMar>
            <w:vAlign w:val="center"/>
          </w:tcPr>
          <w:p w14:paraId="3B84FC38">
            <w:pPr>
              <w:spacing w:line="360" w:lineRule="auto"/>
              <w:jc w:val="both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常州正衡电力工程监理有限公司</w:t>
            </w:r>
          </w:p>
        </w:tc>
        <w:tc>
          <w:tcPr>
            <w:tcW w:w="976" w:type="dxa"/>
            <w:tcMar>
              <w:left w:w="0" w:type="dxa"/>
              <w:right w:w="0" w:type="dxa"/>
            </w:tcMar>
            <w:vAlign w:val="center"/>
          </w:tcPr>
          <w:p w14:paraId="0BDF3F62">
            <w:pPr>
              <w:spacing w:line="360" w:lineRule="auto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发文时间</w:t>
            </w:r>
          </w:p>
        </w:tc>
        <w:tc>
          <w:tcPr>
            <w:tcW w:w="3519" w:type="dxa"/>
            <w:tcMar>
              <w:left w:w="0" w:type="dxa"/>
              <w:right w:w="0" w:type="dxa"/>
            </w:tcMar>
            <w:vAlign w:val="center"/>
          </w:tcPr>
          <w:p w14:paraId="49E5C8AC">
            <w:pPr>
              <w:spacing w:line="360" w:lineRule="auto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20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09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月</w:t>
            </w:r>
            <w:r>
              <w:rPr>
                <w:rFonts w:hint="eastAsia" w:ascii="宋体" w:hAnsi="宋体"/>
                <w:b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日</w:t>
            </w:r>
          </w:p>
        </w:tc>
      </w:tr>
    </w:tbl>
    <w:p w14:paraId="2BA81C36">
      <w:pPr>
        <w:rPr>
          <w:rFonts w:hint="eastAsia" w:eastAsia="宋体"/>
          <w:sz w:val="24"/>
          <w:szCs w:val="24"/>
          <w:lang w:eastAsia="zh-CN"/>
        </w:rPr>
      </w:pPr>
      <w:r>
        <w:rPr>
          <w:rFonts w:hint="eastAsia" w:eastAsia="宋体"/>
          <w:sz w:val="24"/>
          <w:szCs w:val="24"/>
          <w:lang w:eastAsia="zh-CN"/>
        </w:rPr>
        <w:drawing>
          <wp:inline distT="0" distB="0" distL="114300" distR="114300">
            <wp:extent cx="2995930" cy="2277110"/>
            <wp:effectExtent l="0" t="0" r="6350" b="8890"/>
            <wp:docPr id="1" name="图片 1" descr="b9d7d2c8a4ec095b41ac044032d36e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9d7d2c8a4ec095b41ac044032d36ef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95930" cy="2277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sz w:val="24"/>
          <w:szCs w:val="24"/>
          <w:lang w:eastAsia="zh-CN"/>
        </w:rPr>
        <w:drawing>
          <wp:inline distT="0" distB="0" distL="114300" distR="114300">
            <wp:extent cx="3001645" cy="2261235"/>
            <wp:effectExtent l="0" t="0" r="635" b="9525"/>
            <wp:docPr id="2" name="图片 2" descr="ec03517f64548ae85759d3e5f60d6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c03517f64548ae85759d3e5f60d66a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01645" cy="2261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pgSz w:w="11906" w:h="16838"/>
      <w:pgMar w:top="1417" w:right="794" w:bottom="1134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87964A"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U0YjA3N2QxMDlkYmMwZmFjM2ZjYjg5MmIyYmNiMTgifQ=="/>
  </w:docVars>
  <w:rsids>
    <w:rsidRoot w:val="00172A27"/>
    <w:rsid w:val="00092FB6"/>
    <w:rsid w:val="000B540E"/>
    <w:rsid w:val="000D16AE"/>
    <w:rsid w:val="001242DD"/>
    <w:rsid w:val="00132160"/>
    <w:rsid w:val="001454CF"/>
    <w:rsid w:val="00145F30"/>
    <w:rsid w:val="00172A27"/>
    <w:rsid w:val="0018323A"/>
    <w:rsid w:val="001932F6"/>
    <w:rsid w:val="001D0319"/>
    <w:rsid w:val="001E6AAB"/>
    <w:rsid w:val="001F1C89"/>
    <w:rsid w:val="002038DC"/>
    <w:rsid w:val="00240B63"/>
    <w:rsid w:val="00267D0F"/>
    <w:rsid w:val="002720CD"/>
    <w:rsid w:val="0027661C"/>
    <w:rsid w:val="002D783C"/>
    <w:rsid w:val="002E0EE4"/>
    <w:rsid w:val="002E494B"/>
    <w:rsid w:val="00311ECA"/>
    <w:rsid w:val="003326A3"/>
    <w:rsid w:val="00371F43"/>
    <w:rsid w:val="003F2632"/>
    <w:rsid w:val="00426F46"/>
    <w:rsid w:val="00441558"/>
    <w:rsid w:val="00454870"/>
    <w:rsid w:val="0048118A"/>
    <w:rsid w:val="00491A9B"/>
    <w:rsid w:val="004B1E5B"/>
    <w:rsid w:val="004F63EC"/>
    <w:rsid w:val="00530719"/>
    <w:rsid w:val="00565C10"/>
    <w:rsid w:val="005706E0"/>
    <w:rsid w:val="00595E60"/>
    <w:rsid w:val="005A0D5C"/>
    <w:rsid w:val="005B0B4E"/>
    <w:rsid w:val="005C0625"/>
    <w:rsid w:val="00600F01"/>
    <w:rsid w:val="00603C81"/>
    <w:rsid w:val="00612D5C"/>
    <w:rsid w:val="00624B91"/>
    <w:rsid w:val="00646B0E"/>
    <w:rsid w:val="0066494B"/>
    <w:rsid w:val="006C1DA9"/>
    <w:rsid w:val="006C2DCC"/>
    <w:rsid w:val="006C3795"/>
    <w:rsid w:val="006F3F2A"/>
    <w:rsid w:val="0074608D"/>
    <w:rsid w:val="00757DDB"/>
    <w:rsid w:val="007C0C12"/>
    <w:rsid w:val="007D13FF"/>
    <w:rsid w:val="007E1F69"/>
    <w:rsid w:val="007E609D"/>
    <w:rsid w:val="00825AEA"/>
    <w:rsid w:val="00827434"/>
    <w:rsid w:val="00833FE9"/>
    <w:rsid w:val="00855CF1"/>
    <w:rsid w:val="008659DF"/>
    <w:rsid w:val="0087069A"/>
    <w:rsid w:val="008A6343"/>
    <w:rsid w:val="008B39AD"/>
    <w:rsid w:val="009521F4"/>
    <w:rsid w:val="009574FF"/>
    <w:rsid w:val="00957E85"/>
    <w:rsid w:val="00964CA2"/>
    <w:rsid w:val="00967A04"/>
    <w:rsid w:val="00971F52"/>
    <w:rsid w:val="00994549"/>
    <w:rsid w:val="0099675F"/>
    <w:rsid w:val="009A7E05"/>
    <w:rsid w:val="009C0443"/>
    <w:rsid w:val="009F2259"/>
    <w:rsid w:val="00A17095"/>
    <w:rsid w:val="00A56090"/>
    <w:rsid w:val="00A734B4"/>
    <w:rsid w:val="00A7546B"/>
    <w:rsid w:val="00AB2DB3"/>
    <w:rsid w:val="00AB5CA0"/>
    <w:rsid w:val="00AC73D6"/>
    <w:rsid w:val="00AD379C"/>
    <w:rsid w:val="00B05F37"/>
    <w:rsid w:val="00B06993"/>
    <w:rsid w:val="00B06ABE"/>
    <w:rsid w:val="00B159F3"/>
    <w:rsid w:val="00B246A2"/>
    <w:rsid w:val="00B52703"/>
    <w:rsid w:val="00B926BF"/>
    <w:rsid w:val="00BA3483"/>
    <w:rsid w:val="00BD16B4"/>
    <w:rsid w:val="00C33751"/>
    <w:rsid w:val="00C438FE"/>
    <w:rsid w:val="00C76CB7"/>
    <w:rsid w:val="00CA0E01"/>
    <w:rsid w:val="00CA4E63"/>
    <w:rsid w:val="00CA59E6"/>
    <w:rsid w:val="00CC0ADA"/>
    <w:rsid w:val="00D3092C"/>
    <w:rsid w:val="00D42514"/>
    <w:rsid w:val="00D4528E"/>
    <w:rsid w:val="00D5717B"/>
    <w:rsid w:val="00DE44B4"/>
    <w:rsid w:val="00DE5E7A"/>
    <w:rsid w:val="00E26EB5"/>
    <w:rsid w:val="00E27580"/>
    <w:rsid w:val="00E5340A"/>
    <w:rsid w:val="00E63947"/>
    <w:rsid w:val="00E70A87"/>
    <w:rsid w:val="00E90F7A"/>
    <w:rsid w:val="00EC2F96"/>
    <w:rsid w:val="00F00F4E"/>
    <w:rsid w:val="00F120DF"/>
    <w:rsid w:val="00F22519"/>
    <w:rsid w:val="00F41816"/>
    <w:rsid w:val="00F451D4"/>
    <w:rsid w:val="00F5276B"/>
    <w:rsid w:val="00F60612"/>
    <w:rsid w:val="00FE10E0"/>
    <w:rsid w:val="01287834"/>
    <w:rsid w:val="019E137D"/>
    <w:rsid w:val="025E4050"/>
    <w:rsid w:val="03592DB2"/>
    <w:rsid w:val="04C753E5"/>
    <w:rsid w:val="05D52FE0"/>
    <w:rsid w:val="06E406FD"/>
    <w:rsid w:val="0A8C7F0D"/>
    <w:rsid w:val="0C2C7CAB"/>
    <w:rsid w:val="0CC902FB"/>
    <w:rsid w:val="0E9675F2"/>
    <w:rsid w:val="109D1752"/>
    <w:rsid w:val="1255275D"/>
    <w:rsid w:val="148E3B57"/>
    <w:rsid w:val="16791316"/>
    <w:rsid w:val="1AA255DC"/>
    <w:rsid w:val="1ADF456D"/>
    <w:rsid w:val="1BC63F4C"/>
    <w:rsid w:val="1E5370C6"/>
    <w:rsid w:val="218376BE"/>
    <w:rsid w:val="2DAC28A9"/>
    <w:rsid w:val="2E595191"/>
    <w:rsid w:val="32BE30F5"/>
    <w:rsid w:val="332D3EF4"/>
    <w:rsid w:val="34574B54"/>
    <w:rsid w:val="34E031CD"/>
    <w:rsid w:val="34E431F5"/>
    <w:rsid w:val="3CF570B9"/>
    <w:rsid w:val="3D30207F"/>
    <w:rsid w:val="3E567613"/>
    <w:rsid w:val="409749EB"/>
    <w:rsid w:val="421F25FA"/>
    <w:rsid w:val="42DE783B"/>
    <w:rsid w:val="431B181C"/>
    <w:rsid w:val="4A797999"/>
    <w:rsid w:val="4B7F7DA3"/>
    <w:rsid w:val="50E33C7D"/>
    <w:rsid w:val="52D43F6F"/>
    <w:rsid w:val="54C53DC5"/>
    <w:rsid w:val="55B57DAC"/>
    <w:rsid w:val="56635C8D"/>
    <w:rsid w:val="592B1080"/>
    <w:rsid w:val="5D5818D6"/>
    <w:rsid w:val="5E38246C"/>
    <w:rsid w:val="5E8D228C"/>
    <w:rsid w:val="5F181F29"/>
    <w:rsid w:val="694A2642"/>
    <w:rsid w:val="6B726D73"/>
    <w:rsid w:val="6E7B2EC4"/>
    <w:rsid w:val="6E9D51DF"/>
    <w:rsid w:val="6EF01202"/>
    <w:rsid w:val="72B95F3C"/>
    <w:rsid w:val="738916A3"/>
    <w:rsid w:val="77D44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1"/>
    <w:basedOn w:val="1"/>
    <w:next w:val="1"/>
    <w:link w:val="19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qFormat/>
    <w:uiPriority w:val="9"/>
    <w:pPr>
      <w:keepNext/>
      <w:keepLines/>
      <w:adjustRightInd w:val="0"/>
      <w:spacing w:before="260" w:after="260"/>
      <w:textAlignment w:val="baseline"/>
      <w:outlineLvl w:val="1"/>
    </w:pPr>
    <w:rPr>
      <w:rFonts w:ascii="Arial" w:hAnsi="Arial"/>
      <w:b/>
      <w:bCs/>
      <w:kern w:val="0"/>
      <w:sz w:val="28"/>
      <w:szCs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tabs>
        <w:tab w:val="left" w:pos="720"/>
      </w:tabs>
      <w:ind w:firstLine="420" w:firstLineChars="100"/>
    </w:pPr>
  </w:style>
  <w:style w:type="paragraph" w:styleId="3">
    <w:name w:val="Body Text"/>
    <w:basedOn w:val="1"/>
    <w:next w:val="1"/>
    <w:semiHidden/>
    <w:qFormat/>
    <w:uiPriority w:val="0"/>
    <w:rPr>
      <w:rFonts w:ascii="微软雅黑" w:hAnsi="微软雅黑" w:eastAsia="微软雅黑" w:cs="微软雅黑"/>
      <w:sz w:val="28"/>
      <w:szCs w:val="2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paragraph" w:styleId="9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page number"/>
    <w:basedOn w:val="12"/>
    <w:unhideWhenUsed/>
    <w:qFormat/>
    <w:uiPriority w:val="99"/>
  </w:style>
  <w:style w:type="paragraph" w:customStyle="1" w:styleId="14">
    <w:name w:val="列出段落1"/>
    <w:basedOn w:val="1"/>
    <w:qFormat/>
    <w:uiPriority w:val="0"/>
    <w:pPr>
      <w:ind w:firstLine="420" w:firstLineChars="200"/>
    </w:pPr>
    <w:rPr>
      <w:szCs w:val="24"/>
    </w:rPr>
  </w:style>
  <w:style w:type="paragraph" w:customStyle="1" w:styleId="15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6">
    <w:name w:val="m2"/>
    <w:basedOn w:val="1"/>
    <w:qFormat/>
    <w:uiPriority w:val="0"/>
    <w:pPr>
      <w:topLinePunct/>
      <w:spacing w:line="480" w:lineRule="auto"/>
      <w:jc w:val="center"/>
    </w:pPr>
    <w:rPr>
      <w:rFonts w:eastAsia="黑体"/>
      <w:sz w:val="24"/>
      <w:szCs w:val="24"/>
    </w:rPr>
  </w:style>
  <w:style w:type="paragraph" w:customStyle="1" w:styleId="17">
    <w:name w:val="列出段落2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8">
    <w:name w:val="Char1"/>
    <w:basedOn w:val="1"/>
    <w:qFormat/>
    <w:uiPriority w:val="0"/>
    <w:pPr>
      <w:spacing w:line="480" w:lineRule="exact"/>
    </w:pPr>
    <w:rPr>
      <w:rFonts w:ascii="Calibri" w:hAnsi="Calibri" w:eastAsia="仿宋_GB2312" w:cs="黑体"/>
      <w:sz w:val="30"/>
      <w:szCs w:val="24"/>
    </w:rPr>
  </w:style>
  <w:style w:type="character" w:customStyle="1" w:styleId="19">
    <w:name w:val="标题 1 字符"/>
    <w:basedOn w:val="12"/>
    <w:link w:val="4"/>
    <w:qFormat/>
    <w:uiPriority w:val="9"/>
    <w:rPr>
      <w:b/>
      <w:bCs/>
      <w:kern w:val="44"/>
      <w:sz w:val="44"/>
      <w:szCs w:val="44"/>
    </w:rPr>
  </w:style>
  <w:style w:type="paragraph" w:styleId="2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1081</Words>
  <Characters>1164</Characters>
  <Lines>5</Lines>
  <Paragraphs>1</Paragraphs>
  <TotalTime>33</TotalTime>
  <ScaleCrop>false</ScaleCrop>
  <LinksUpToDate>false</LinksUpToDate>
  <CharactersWithSpaces>1250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2017-04-16T07:48:00Z</dcterms:created>
  <dc:creator>+</dc:creator>
  <cp:lastModifiedBy>WPS_1624587906</cp:lastModifiedBy>
  <cp:lastPrinted>2024-09-09T03:00:00Z</cp:lastPrinted>
  <dcterms:modified xsi:type="dcterms:W3CDTF">2024-09-13T04:17:48Z</dcterms:modified>
  <dc:title>第一次工程例会 会议纪要</dc:title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FF0DBAC100994A1DBB70CD6686C8E402</vt:lpwstr>
  </property>
</Properties>
</file>