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36"/>
          <w:szCs w:val="21"/>
        </w:rPr>
      </w:pPr>
      <w:r>
        <w:rPr>
          <w:rFonts w:hint="eastAsia" w:ascii="宋体" w:hAnsi="宋体"/>
          <w:b/>
          <w:sz w:val="36"/>
          <w:szCs w:val="21"/>
        </w:rPr>
        <w:t>会  议  纪  要</w:t>
      </w:r>
    </w:p>
    <w:p>
      <w:pPr>
        <w:ind w:left="6930" w:hanging="6204" w:hangingChars="3300"/>
        <w:jc w:val="left"/>
        <w:rPr>
          <w:rFonts w:hint="default" w:ascii="宋体" w:hAnsi="宋体" w:cs="Times New Roman"/>
          <w:lang w:val="en-US" w:eastAsia="zh-CN"/>
        </w:rPr>
      </w:pPr>
      <w:r>
        <w:rPr>
          <w:rFonts w:hint="eastAsia" w:ascii="宋体" w:hAnsi="宋体" w:eastAsia="宋体" w:cs="Times New Roman"/>
          <w:b w:val="0"/>
          <w:bCs w:val="0"/>
          <w:spacing w:val="-11"/>
          <w:kern w:val="2"/>
          <w:sz w:val="21"/>
          <w:szCs w:val="21"/>
          <w:lang w:val="en-US" w:eastAsia="zh-CN" w:bidi="ar-SA"/>
        </w:rPr>
        <w:t>工程名称：高邮市鑫辰新能源有限公司汤庄镇</w:t>
      </w:r>
      <w:r>
        <w:rPr>
          <w:rFonts w:hint="eastAsia" w:ascii="宋体" w:hAnsi="宋体" w:cs="Times New Roman"/>
          <w:b w:val="0"/>
          <w:bCs w:val="0"/>
          <w:spacing w:val="-11"/>
          <w:kern w:val="2"/>
          <w:sz w:val="21"/>
          <w:szCs w:val="21"/>
          <w:lang w:val="en-US" w:eastAsia="zh-CN" w:bidi="ar-SA"/>
        </w:rPr>
        <w:t>78</w:t>
      </w:r>
      <w:r>
        <w:rPr>
          <w:rFonts w:hint="eastAsia" w:ascii="宋体" w:hAnsi="宋体" w:eastAsia="宋体" w:cs="Times New Roman"/>
          <w:b w:val="0"/>
          <w:bCs w:val="0"/>
          <w:spacing w:val="-11"/>
          <w:kern w:val="2"/>
          <w:sz w:val="21"/>
          <w:szCs w:val="21"/>
          <w:lang w:val="en-US" w:eastAsia="zh-CN" w:bidi="ar-SA"/>
        </w:rPr>
        <w:t>MW渔光互补光伏发电项目</w:t>
      </w:r>
      <w:r>
        <w:rPr>
          <w:rFonts w:hint="eastAsia" w:ascii="宋体" w:hAnsi="宋体" w:cs="Times New Roman"/>
          <w:b w:val="0"/>
          <w:bCs w:val="0"/>
          <w:kern w:val="2"/>
          <w:sz w:val="22"/>
          <w:szCs w:val="22"/>
          <w:lang w:val="en-US" w:eastAsia="zh-CN" w:bidi="ar-SA"/>
        </w:rPr>
        <w:t xml:space="preserve">  </w:t>
      </w:r>
      <w:r>
        <w:rPr>
          <w:rFonts w:hint="eastAsia" w:ascii="宋体" w:hAnsi="宋体" w:cs="Times New Roman"/>
          <w:lang w:val="en-US" w:eastAsia="zh-CN"/>
        </w:rPr>
        <w:t>编</w:t>
      </w:r>
      <w:r>
        <w:rPr>
          <w:rFonts w:hint="eastAsia" w:ascii="宋体" w:hAnsi="宋体" w:cs="Times New Roman"/>
        </w:rPr>
        <w:t>号</w:t>
      </w:r>
      <w:r>
        <w:rPr>
          <w:rFonts w:hint="eastAsia" w:ascii="宋体" w:hAnsi="宋体" w:cs="Times New Roman"/>
          <w:lang w:eastAsia="zh-CN"/>
        </w:rPr>
        <w:t>：</w:t>
      </w:r>
      <w:r>
        <w:rPr>
          <w:rFonts w:hint="eastAsia" w:ascii="宋体" w:hAnsi="宋体" w:cs="Times New Roman"/>
          <w:lang w:val="en-US" w:eastAsia="zh-CN"/>
        </w:rPr>
        <w:t>TZ-SAJL</w:t>
      </w:r>
      <w:r>
        <w:rPr>
          <w:rFonts w:hint="eastAsia" w:ascii="宋体" w:hAnsi="宋体" w:cs="Times New Roman"/>
        </w:rPr>
        <w:t>-LH-</w:t>
      </w:r>
      <w:r>
        <w:rPr>
          <w:rFonts w:hint="eastAsia" w:ascii="宋体" w:hAnsi="宋体" w:cs="Times New Roman"/>
          <w:lang w:val="en-US" w:eastAsia="zh-CN"/>
        </w:rPr>
        <w:t>2024-10-</w:t>
      </w:r>
      <w:r>
        <w:rPr>
          <w:rFonts w:hint="eastAsia" w:ascii="宋体" w:hAnsi="宋体" w:cs="Times New Roman"/>
        </w:rPr>
        <w:t>0</w:t>
      </w:r>
      <w:r>
        <w:rPr>
          <w:rFonts w:hint="eastAsia" w:ascii="宋体" w:hAnsi="宋体" w:cs="Times New Roman"/>
          <w:lang w:val="en-US" w:eastAsia="zh-CN"/>
        </w:rPr>
        <w:t>03</w:t>
      </w:r>
    </w:p>
    <w:p>
      <w:pPr>
        <w:ind w:firstLine="6300" w:firstLineChars="3000"/>
        <w:jc w:val="left"/>
        <w:rPr>
          <w:rFonts w:hint="default" w:ascii="宋体" w:hAnsi="宋体" w:eastAsia="宋体" w:cs="Times New Roman"/>
          <w:lang w:val="en-US" w:eastAsia="zh-CN"/>
        </w:rPr>
      </w:pPr>
      <w:r>
        <w:rPr>
          <w:rFonts w:hint="eastAsia" w:ascii="宋体" w:hAnsi="宋体" w:cs="Times New Roman"/>
        </w:rPr>
        <w:t>签发：</w:t>
      </w:r>
      <w:r>
        <w:rPr>
          <w:rFonts w:hint="eastAsia" w:ascii="宋体" w:hAnsi="宋体" w:cs="Times New Roman"/>
          <w:lang w:val="en-US" w:eastAsia="zh-CN"/>
        </w:rPr>
        <w:t xml:space="preserve">  </w:t>
      </w:r>
    </w:p>
    <w:tbl>
      <w:tblPr>
        <w:tblStyle w:val="9"/>
        <w:tblW w:w="10050" w:type="dxa"/>
        <w:tblInd w:w="11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615"/>
        <w:gridCol w:w="862"/>
        <w:gridCol w:w="2526"/>
        <w:gridCol w:w="1226"/>
        <w:gridCol w:w="635"/>
        <w:gridCol w:w="526"/>
        <w:gridCol w:w="266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54" w:hRule="atLeast"/>
        </w:trPr>
        <w:tc>
          <w:tcPr>
            <w:tcW w:w="247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会议地点</w:t>
            </w:r>
          </w:p>
        </w:tc>
        <w:tc>
          <w:tcPr>
            <w:tcW w:w="2526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总包项目部</w:t>
            </w:r>
          </w:p>
        </w:tc>
        <w:tc>
          <w:tcPr>
            <w:tcW w:w="1861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ind w:firstLine="240" w:firstLineChars="10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会议时间</w:t>
            </w:r>
          </w:p>
        </w:tc>
        <w:tc>
          <w:tcPr>
            <w:tcW w:w="318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28" w:hRule="atLeast"/>
        </w:trPr>
        <w:tc>
          <w:tcPr>
            <w:tcW w:w="247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会议主持人</w:t>
            </w:r>
          </w:p>
        </w:tc>
        <w:tc>
          <w:tcPr>
            <w:tcW w:w="75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topLinePunct/>
              <w:ind w:firstLine="1920" w:firstLineChars="800"/>
              <w:jc w:val="both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尹生铭   秦帮学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722" w:hRule="atLeast"/>
        </w:trPr>
        <w:tc>
          <w:tcPr>
            <w:tcW w:w="10050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topLinePunct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会议主题：</w:t>
            </w:r>
          </w:p>
          <w:p>
            <w:pPr>
              <w:topLinePunct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项目推进</w:t>
            </w:r>
            <w:r>
              <w:rPr>
                <w:rFonts w:hint="eastAsia" w:ascii="宋体" w:hAnsi="宋体"/>
                <w:sz w:val="24"/>
                <w:szCs w:val="24"/>
              </w:rPr>
              <w:t>及协调事宜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0874" w:hRule="atLeast"/>
        </w:trPr>
        <w:tc>
          <w:tcPr>
            <w:tcW w:w="10050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/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2024 年 10 月 21 日下午 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14：</w:t>
            </w:r>
            <w:r>
              <w:rPr>
                <w:sz w:val="24"/>
                <w:szCs w:val="22"/>
              </w:rPr>
              <w:t>3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0</w:t>
            </w:r>
            <w:r>
              <w:rPr>
                <w:sz w:val="24"/>
                <w:szCs w:val="22"/>
              </w:rPr>
              <w:t>分由中建业尹生铭</w:t>
            </w:r>
            <w:r>
              <w:rPr>
                <w:rFonts w:hint="eastAsia"/>
                <w:sz w:val="24"/>
                <w:szCs w:val="22"/>
                <w:lang w:eastAsia="zh-CN"/>
              </w:rPr>
              <w:t>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秦帮学</w:t>
            </w:r>
            <w:r>
              <w:rPr>
                <w:sz w:val="24"/>
                <w:szCs w:val="22"/>
              </w:rPr>
              <w:t>主持召开高邮临泽镇230MW、甘垛镇 380MW、汤庄镇 209M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W</w:t>
            </w:r>
            <w:r>
              <w:rPr>
                <w:sz w:val="24"/>
                <w:szCs w:val="22"/>
              </w:rPr>
              <w:t>项目监理例会，形成如下内容：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61" w:leftChars="228" w:hanging="482" w:hanging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b/>
                <w:bCs/>
                <w:sz w:val="24"/>
                <w:szCs w:val="22"/>
                <w:lang w:val="en-US" w:eastAsia="zh-CN"/>
              </w:rPr>
              <w:t>一、建卫</w:t>
            </w:r>
            <w:r>
              <w:rPr>
                <w:b/>
                <w:bCs/>
                <w:sz w:val="24"/>
                <w:szCs w:val="22"/>
              </w:rPr>
              <w:t>尹生铭</w:t>
            </w:r>
            <w:r>
              <w:rPr>
                <w:sz w:val="24"/>
                <w:szCs w:val="22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合同签订后，从 7 月份至今分包合同未签署，不能确定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2、每周一下午 14：30 召开监理例会，没有特殊情况需准时参加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3、总承包单位与监理单位汇报本周工作情况与下周工作计划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/>
                <w:sz w:val="24"/>
                <w:szCs w:val="22"/>
                <w:lang w:eastAsia="zh-CN"/>
              </w:rPr>
            </w:pPr>
            <w:r>
              <w:rPr>
                <w:sz w:val="24"/>
                <w:szCs w:val="22"/>
              </w:rPr>
              <w:t>4、明确监理单位工作职责：对安全、质量、进度进行监管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61" w:leftChars="228" w:hanging="482" w:hangingChars="200"/>
              <w:textAlignment w:val="auto"/>
              <w:rPr>
                <w:rFonts w:hint="eastAsia"/>
                <w:b/>
                <w:bCs/>
                <w:sz w:val="24"/>
                <w:szCs w:val="22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2"/>
                <w:lang w:val="en-US" w:eastAsia="zh-CN"/>
              </w:rPr>
              <w:t>二、</w:t>
            </w:r>
            <w:r>
              <w:rPr>
                <w:b/>
                <w:bCs/>
                <w:sz w:val="24"/>
                <w:szCs w:val="22"/>
              </w:rPr>
              <w:t>总承包汇报内容：详见总承包单位施工周报</w:t>
            </w:r>
            <w:r>
              <w:rPr>
                <w:rFonts w:hint="eastAsia"/>
                <w:b/>
                <w:bCs/>
                <w:sz w:val="24"/>
                <w:szCs w:val="22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61" w:leftChars="228" w:hanging="482" w:hangingChars="200"/>
              <w:textAlignment w:val="auto"/>
              <w:rPr>
                <w:rFonts w:hint="eastAsia"/>
                <w:b/>
                <w:bCs/>
                <w:sz w:val="24"/>
                <w:szCs w:val="22"/>
              </w:rPr>
            </w:pPr>
            <w:r>
              <w:rPr>
                <w:b/>
                <w:bCs/>
                <w:sz w:val="24"/>
                <w:szCs w:val="22"/>
              </w:rPr>
              <w:t>新霖飞何总要求：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1、</w:t>
            </w:r>
            <w:r>
              <w:rPr>
                <w:sz w:val="24"/>
                <w:szCs w:val="22"/>
              </w:rPr>
              <w:t>汤庄 78MW：10 月 25 日起至 2025 年 1 月 25 日止，完成全部打桩，平均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每个月打桩不少于 6200 根</w:t>
            </w:r>
            <w:r>
              <w:rPr>
                <w:rFonts w:hint="eastAsia"/>
                <w:sz w:val="24"/>
                <w:szCs w:val="22"/>
                <w:lang w:eastAsia="zh-CN"/>
              </w:rPr>
              <w:t>，</w:t>
            </w:r>
            <w:r>
              <w:rPr>
                <w:sz w:val="24"/>
                <w:szCs w:val="22"/>
              </w:rPr>
              <w:t xml:space="preserve">每月 10 日、20 日分别进行当月统计汇总预警；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/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2、</w:t>
            </w:r>
            <w:r>
              <w:rPr>
                <w:sz w:val="24"/>
                <w:szCs w:val="22"/>
              </w:rPr>
              <w:t>61MW、70MW各项目结合最新地块情况，原则上 3 个月完成全部打桩，平均每个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 xml:space="preserve">               </w:t>
            </w:r>
            <w:r>
              <w:rPr>
                <w:sz w:val="24"/>
                <w:szCs w:val="22"/>
              </w:rPr>
              <w:t>月打桩不少于 10500 根</w:t>
            </w:r>
            <w:r>
              <w:rPr>
                <w:rFonts w:hint="eastAsia"/>
                <w:sz w:val="24"/>
                <w:szCs w:val="22"/>
                <w:lang w:eastAsia="zh-CN"/>
              </w:rPr>
              <w:t>，</w:t>
            </w:r>
            <w:r>
              <w:rPr>
                <w:sz w:val="24"/>
                <w:szCs w:val="22"/>
              </w:rPr>
              <w:t>每月 10 日、20 日分别进行当月统计汇总预警；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2" w:firstLineChars="200"/>
              <w:textAlignment w:val="auto"/>
              <w:rPr>
                <w:rFonts w:hint="default" w:eastAsia="宋体"/>
                <w:sz w:val="24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2"/>
                <w:lang w:val="en-US" w:eastAsia="zh-CN"/>
              </w:rPr>
              <w:t>三、</w:t>
            </w:r>
            <w:r>
              <w:rPr>
                <w:b/>
                <w:bCs/>
                <w:sz w:val="24"/>
                <w:szCs w:val="22"/>
              </w:rPr>
              <w:t>监理单位（汤庄监理）</w:t>
            </w:r>
            <w:r>
              <w:rPr>
                <w:sz w:val="24"/>
                <w:szCs w:val="22"/>
              </w:rPr>
              <w:t xml:space="preserve">： 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1、</w:t>
            </w:r>
            <w:r>
              <w:rPr>
                <w:sz w:val="24"/>
                <w:szCs w:val="22"/>
              </w:rPr>
              <w:t xml:space="preserve">试装打桩及检测的所用机械设备，总包现场管理人员要核对操作人员操作证，机械设备年检证明等；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2、</w:t>
            </w:r>
            <w:r>
              <w:rPr>
                <w:sz w:val="24"/>
                <w:szCs w:val="22"/>
              </w:rPr>
              <w:t xml:space="preserve">现场管理人员要按总包试装方案进行现场要求，因为前期试装及检测工作产生的数据是设计依据；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3、</w:t>
            </w:r>
            <w:r>
              <w:rPr>
                <w:sz w:val="24"/>
                <w:szCs w:val="22"/>
              </w:rPr>
              <w:t xml:space="preserve">试装打桩及检测现场管理、施工人员要佩戴安全帽反光服，不违章作业；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718" w:leftChars="342" w:firstLine="240" w:firstLineChars="1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试装打桩及检测前，要对现场进行危险源识别，避免机械伤害、高空坠物、倒塌、</w:t>
            </w:r>
            <w:r>
              <w:rPr>
                <w:rFonts w:hint="eastAsia"/>
                <w:sz w:val="24"/>
                <w:szCs w:val="22"/>
                <w:lang w:val="en-US" w:eastAsia="zh-CN"/>
              </w:rPr>
              <w:t xml:space="preserve"> </w:t>
            </w:r>
            <w:r>
              <w:rPr>
                <w:sz w:val="24"/>
                <w:szCs w:val="22"/>
              </w:rPr>
              <w:t xml:space="preserve">触电等事故发生；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4、</w:t>
            </w:r>
            <w:r>
              <w:rPr>
                <w:sz w:val="24"/>
                <w:szCs w:val="22"/>
              </w:rPr>
              <w:t xml:space="preserve">现场技术人员要严把技术关，防止技术原因产生重复工作；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textAlignment w:val="auto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  <w:lang w:val="en-US" w:eastAsia="zh-CN"/>
              </w:rPr>
              <w:t>5、</w:t>
            </w:r>
            <w:r>
              <w:rPr>
                <w:sz w:val="24"/>
                <w:szCs w:val="22"/>
              </w:rPr>
              <w:t>为加快进度，设计出图后即报业主走施工图审批流程；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61" w:leftChars="228" w:hanging="482" w:hangingChars="200"/>
              <w:textAlignment w:val="auto"/>
              <w:rPr>
                <w:rFonts w:hint="eastAsia"/>
                <w:b/>
                <w:bCs/>
                <w:sz w:val="24"/>
                <w:szCs w:val="22"/>
              </w:rPr>
            </w:pPr>
            <w:r>
              <w:rPr>
                <w:rFonts w:hint="eastAsia"/>
                <w:b/>
                <w:bCs/>
                <w:sz w:val="24"/>
                <w:szCs w:val="22"/>
                <w:lang w:val="en-US" w:eastAsia="zh-CN"/>
              </w:rPr>
              <w:t>四、建卫</w:t>
            </w:r>
            <w:r>
              <w:rPr>
                <w:b/>
                <w:bCs/>
                <w:sz w:val="24"/>
                <w:szCs w:val="22"/>
              </w:rPr>
              <w:t>尹总对项目近期工作要求：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1、 总包提交合规化资料上报监理，监理出具开工报告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2、 当天施工现场安全，熟知每个乡镇涉及高压线和风电项目电缆埋线，总包编制专项施工方案和应急预案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 w:eastAsia="宋体"/>
                <w:sz w:val="24"/>
                <w:szCs w:val="22"/>
                <w:lang w:eastAsia="zh-CN"/>
              </w:rPr>
            </w:pPr>
            <w:r>
              <w:rPr>
                <w:sz w:val="24"/>
                <w:szCs w:val="22"/>
              </w:rPr>
              <w:t>3、 关于塘口改造，工程开工前塘口改造必须完成，验收合格后方可打桩， 施工道路要永临结合，不能因为道路原因影响施工进度，特别时捕捞区的开挖，改造完成后塘口，村组签字确认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4、 现场从 8 月份对土方严格要求，总包需对施工法规和要求熟悉，土样要进行送样，须有合规性手续，（成立高邮土方手续）并通知市公安局交警支队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5、 桩基检测和试桩，总包督促分包尽快打试桩和检测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6、 分包单位上报联系方式和工作范围，明确常驻场经理两名，第一责任人， 备选责任人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  <w:r>
              <w:rPr>
                <w:sz w:val="24"/>
                <w:szCs w:val="22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/>
                <w:sz w:val="24"/>
                <w:szCs w:val="22"/>
                <w:lang w:eastAsia="zh-CN"/>
              </w:rPr>
            </w:pPr>
            <w:r>
              <w:rPr>
                <w:sz w:val="24"/>
                <w:szCs w:val="22"/>
              </w:rPr>
              <w:t>7、 土地流转的严谨性有问题</w:t>
            </w:r>
            <w:r>
              <w:rPr>
                <w:rFonts w:hint="eastAsia"/>
                <w:sz w:val="24"/>
                <w:szCs w:val="22"/>
                <w:lang w:eastAsia="zh-CN"/>
              </w:rPr>
              <w:t>；</w:t>
            </w:r>
          </w:p>
          <w:p>
            <w:pPr>
              <w:spacing w:before="123" w:line="336" w:lineRule="auto"/>
              <w:ind w:left="660" w:right="4723" w:firstLine="0"/>
              <w:jc w:val="both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五、业主</w:t>
            </w:r>
            <w:r>
              <w:rPr>
                <w:b/>
                <w:sz w:val="24"/>
              </w:rPr>
              <w:t>黄总要求：</w:t>
            </w:r>
            <w:r>
              <w:rPr>
                <w:b/>
                <w:w w:val="99"/>
                <w:sz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1、 外运渣土整改问题，目前发生在临泽项目，其它项目引以为戒，土方实质性的运输和检测，郑总区调解，土方需送南京检测（是否合格）监理严查手续不合格不允许回填。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2、 对已落实的塘口数据已全部发送给道总，出红线由国投负责协调，已拿到的塘口数据进行对接施工。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3、 施工进度缓慢，需加强。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4、 关于农民工工资事宜，严禁隐瞒，总包要求施工单位及队伍要实质性发放到每一农民工手中，监理负责监督。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959" w:leftChars="228" w:hanging="480" w:hangingChars="200"/>
              <w:textAlignment w:val="auto"/>
              <w:rPr>
                <w:rFonts w:hint="eastAsia"/>
                <w:sz w:val="24"/>
                <w:szCs w:val="22"/>
                <w:lang w:eastAsia="zh-CN"/>
              </w:rPr>
            </w:pPr>
            <w:r>
              <w:rPr>
                <w:sz w:val="24"/>
                <w:szCs w:val="22"/>
              </w:rPr>
              <w:t>5、 塘埂要及时毁坏，避免腾让后的水塘，又被塘主养鱼。</w:t>
            </w:r>
          </w:p>
          <w:tbl>
            <w:tblPr>
              <w:tblStyle w:val="10"/>
              <w:tblpPr w:leftFromText="180" w:rightFromText="180" w:vertAnchor="text" w:horzAnchor="page" w:tblpX="-63" w:tblpY="91"/>
              <w:tblOverlap w:val="never"/>
              <w:tblW w:w="1002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647"/>
              <w:gridCol w:w="8373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418" w:hRule="atLeast"/>
              </w:trPr>
              <w:tc>
                <w:tcPr>
                  <w:tcW w:w="1647" w:type="dxa"/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/>
                    <w:autoSpaceDE/>
                    <w:autoSpaceDN/>
                    <w:bidi w:val="0"/>
                    <w:adjustRightInd/>
                    <w:snapToGrid/>
                    <w:spacing w:line="520" w:lineRule="exact"/>
                    <w:jc w:val="center"/>
                    <w:textAlignment w:val="auto"/>
                    <w:rPr>
                      <w:rFonts w:hint="default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  <w:lang w:val="en-US" w:eastAsia="zh-CN"/>
                    </w:rPr>
                    <w:t>主</w:t>
                  </w:r>
                  <w:r>
                    <w:rPr>
                      <w:rFonts w:hint="eastAsia" w:ascii="宋体" w:hAnsi="宋体"/>
                      <w:sz w:val="24"/>
                      <w:szCs w:val="24"/>
                    </w:rPr>
                    <w:t>送单位</w:t>
                  </w:r>
                </w:p>
              </w:tc>
              <w:tc>
                <w:tcPr>
                  <w:tcW w:w="8373" w:type="dxa"/>
                  <w:vAlign w:val="center"/>
                </w:tcPr>
                <w:p>
                  <w:pPr>
                    <w:pStyle w:val="8"/>
                    <w:keepNext w:val="0"/>
                    <w:keepLines w:val="0"/>
                    <w:pageBreakBefore w:val="0"/>
                    <w:widowControl w:val="0"/>
                    <w:tabs>
                      <w:tab w:val="right" w:leader="dot" w:pos="9016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exact"/>
                    <w:ind w:right="-313" w:rightChars="-149" w:firstLine="240" w:firstLineChars="100"/>
                    <w:jc w:val="both"/>
                    <w:textAlignment w:val="auto"/>
                    <w:rPr>
                      <w:rFonts w:hint="eastAsia"/>
                      <w:b w:val="0"/>
                      <w:bCs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Theme="minorHAnsi" w:hAnsiTheme="minorHAnsi" w:eastAsiaTheme="minorEastAsia" w:cstheme="minorBidi"/>
                      <w:kern w:val="2"/>
                      <w:sz w:val="24"/>
                      <w:szCs w:val="24"/>
                      <w:lang w:val="en-US" w:eastAsia="zh-CN" w:bidi="ar-SA"/>
                    </w:rPr>
                    <w:t>信息产业电子第十一设计研究院科技工程股份有限公司</w:t>
                  </w:r>
                  <w:r>
                    <w:rPr>
                      <w:rFonts w:hint="eastAsia"/>
                      <w:b w:val="0"/>
                      <w:bCs w:val="0"/>
                      <w:sz w:val="24"/>
                      <w:szCs w:val="24"/>
                      <w:vertAlign w:val="baseline"/>
                      <w:lang w:val="en-US" w:eastAsia="zh-CN"/>
                    </w:rPr>
                    <w:t>（总包项目部）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/>
                    <w:autoSpaceDE/>
                    <w:autoSpaceDN/>
                    <w:bidi w:val="0"/>
                    <w:adjustRightInd/>
                    <w:snapToGrid/>
                    <w:spacing w:line="240" w:lineRule="exact"/>
                    <w:ind w:firstLine="720" w:firstLineChars="300"/>
                    <w:jc w:val="both"/>
                    <w:textAlignment w:val="auto"/>
                    <w:rPr>
                      <w:rFonts w:hint="default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Theme="minorHAnsi" w:hAnsiTheme="minorHAnsi" w:eastAsiaTheme="minorEastAsia" w:cstheme="minorBidi"/>
                      <w:kern w:val="2"/>
                      <w:sz w:val="24"/>
                      <w:szCs w:val="24"/>
                      <w:lang w:val="en-US" w:eastAsia="zh-CN" w:bidi="ar-SA"/>
                    </w:rPr>
                    <w:t>新霖飞（扬州）光伏科技有限公司</w:t>
                  </w:r>
                  <w:r>
                    <w:rPr>
                      <w:rFonts w:hint="eastAsia"/>
                      <w:b w:val="0"/>
                      <w:bCs w:val="0"/>
                      <w:sz w:val="24"/>
                      <w:szCs w:val="24"/>
                      <w:vertAlign w:val="baseline"/>
                      <w:lang w:val="en-US" w:eastAsia="zh-CN"/>
                    </w:rPr>
                    <w:t>（总包项目部）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65" w:hRule="atLeast"/>
              </w:trPr>
              <w:tc>
                <w:tcPr>
                  <w:tcW w:w="1647" w:type="dxa"/>
                </w:tcPr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/>
                    <w:autoSpaceDE/>
                    <w:autoSpaceDN/>
                    <w:bidi w:val="0"/>
                    <w:adjustRightInd/>
                    <w:snapToGrid/>
                    <w:spacing w:line="520" w:lineRule="exact"/>
                    <w:jc w:val="center"/>
                    <w:textAlignment w:val="auto"/>
                    <w:rPr>
                      <w:rFonts w:hint="eastAsia" w:ascii="宋体" w:hAnsi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</w:rPr>
                    <w:t>抄送单位</w:t>
                  </w:r>
                </w:p>
              </w:tc>
              <w:tc>
                <w:tcPr>
                  <w:tcW w:w="8373" w:type="dxa"/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/>
                    <w:autoSpaceDE/>
                    <w:autoSpaceDN/>
                    <w:bidi w:val="0"/>
                    <w:adjustRightInd/>
                    <w:snapToGrid/>
                    <w:spacing w:line="520" w:lineRule="exact"/>
                    <w:ind w:firstLine="1920" w:firstLineChars="800"/>
                    <w:jc w:val="both"/>
                    <w:textAlignment w:val="auto"/>
                    <w:rPr>
                      <w:rFonts w:hint="eastAsia" w:asciiTheme="minorHAnsi" w:hAnsiTheme="minorHAnsi" w:eastAsiaTheme="minorEastAsia" w:cstheme="minorBidi"/>
                      <w:kern w:val="2"/>
                      <w:sz w:val="24"/>
                      <w:szCs w:val="24"/>
                      <w:lang w:val="en-US" w:eastAsia="zh-CN" w:bidi="ar-SA"/>
                    </w:rPr>
                  </w:pPr>
                  <w:r>
                    <w:rPr>
                      <w:rFonts w:hint="eastAsia" w:asciiTheme="minorHAnsi" w:hAnsiTheme="minorHAnsi" w:eastAsiaTheme="minorEastAsia" w:cstheme="minorBidi"/>
                      <w:kern w:val="2"/>
                      <w:sz w:val="24"/>
                      <w:szCs w:val="24"/>
                      <w:lang w:val="en-US" w:eastAsia="zh-CN" w:bidi="ar-SA"/>
                    </w:rPr>
                    <w:t>高邮市鑫辰新能源有限公司</w:t>
                  </w:r>
                </w:p>
              </w:tc>
            </w:tr>
          </w:tbl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overflowPunct/>
              <w:autoSpaceDE/>
              <w:autoSpaceDN/>
              <w:bidi w:val="0"/>
              <w:adjustRightInd/>
              <w:snapToGrid w:val="0"/>
              <w:spacing w:before="280" w:after="280" w:line="380" w:lineRule="exact"/>
              <w:jc w:val="both"/>
              <w:textAlignment w:val="auto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827" w:hRule="atLeast"/>
        </w:trPr>
        <w:tc>
          <w:tcPr>
            <w:tcW w:w="1615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发文单位</w:t>
            </w:r>
          </w:p>
        </w:tc>
        <w:tc>
          <w:tcPr>
            <w:tcW w:w="4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default" w:ascii="宋体" w:hAnsi="宋体"/>
                <w:sz w:val="24"/>
                <w:szCs w:val="24"/>
                <w:lang w:val="en-US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  <w:t>高邮市鑫辰新能源有限公司汤庄镇78</w:t>
            </w:r>
            <w:bookmarkStart w:id="0" w:name="_GoBack"/>
            <w:bookmarkEnd w:id="0"/>
            <w:r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  <w:t>MW渔光互补光伏发电项目监理项目部</w:t>
            </w:r>
          </w:p>
        </w:tc>
        <w:tc>
          <w:tcPr>
            <w:tcW w:w="1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发文时间</w:t>
            </w:r>
          </w:p>
        </w:tc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opLinePunct/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22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</w:tr>
    </w:tbl>
    <w:p>
      <w:pPr>
        <w:spacing w:line="300" w:lineRule="auto"/>
        <w:ind w:firstLine="420" w:firstLineChars="200"/>
        <w:rPr>
          <w:rFonts w:ascii="宋体" w:hAnsi="宋体"/>
        </w:rPr>
      </w:pPr>
      <w:r>
        <w:rPr>
          <w:rFonts w:hint="eastAsia" w:ascii="宋体" w:hAnsi="宋体"/>
        </w:rPr>
        <w:t>注：会议纪要由监理项目部起草，经总监理工程师签发后下发。</w:t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lZjJmMDc0MjkyZjZmZmU5YTI2MzkyYzg1NzUwMWIifQ=="/>
  </w:docVars>
  <w:rsids>
    <w:rsidRoot w:val="00C3422C"/>
    <w:rsid w:val="00015FF7"/>
    <w:rsid w:val="002E1F6F"/>
    <w:rsid w:val="00324796"/>
    <w:rsid w:val="003F27A7"/>
    <w:rsid w:val="003F4B5A"/>
    <w:rsid w:val="00443541"/>
    <w:rsid w:val="00495357"/>
    <w:rsid w:val="005F4E22"/>
    <w:rsid w:val="007934FF"/>
    <w:rsid w:val="00920FD8"/>
    <w:rsid w:val="00932385"/>
    <w:rsid w:val="009420EF"/>
    <w:rsid w:val="00A17DF3"/>
    <w:rsid w:val="00A34885"/>
    <w:rsid w:val="00BA2E0A"/>
    <w:rsid w:val="00BF2BA1"/>
    <w:rsid w:val="00C3422C"/>
    <w:rsid w:val="00D34580"/>
    <w:rsid w:val="00D8750C"/>
    <w:rsid w:val="00F83F4B"/>
    <w:rsid w:val="01A93FA3"/>
    <w:rsid w:val="020B07BA"/>
    <w:rsid w:val="02682BCA"/>
    <w:rsid w:val="026863AC"/>
    <w:rsid w:val="02A906AB"/>
    <w:rsid w:val="038500F8"/>
    <w:rsid w:val="03936A9A"/>
    <w:rsid w:val="03C230FA"/>
    <w:rsid w:val="03EB21FB"/>
    <w:rsid w:val="04EB48D3"/>
    <w:rsid w:val="04F44C4D"/>
    <w:rsid w:val="05685F23"/>
    <w:rsid w:val="057448C8"/>
    <w:rsid w:val="061F2A86"/>
    <w:rsid w:val="06C90C44"/>
    <w:rsid w:val="06D73361"/>
    <w:rsid w:val="07434552"/>
    <w:rsid w:val="07AF25A1"/>
    <w:rsid w:val="080D2DB2"/>
    <w:rsid w:val="082A73B0"/>
    <w:rsid w:val="08C77405"/>
    <w:rsid w:val="0A116B8A"/>
    <w:rsid w:val="0A1B7A08"/>
    <w:rsid w:val="0A4B574B"/>
    <w:rsid w:val="0ABD4D97"/>
    <w:rsid w:val="0B1E1CA6"/>
    <w:rsid w:val="0C41127C"/>
    <w:rsid w:val="0C760F26"/>
    <w:rsid w:val="0C970868"/>
    <w:rsid w:val="0CF14A50"/>
    <w:rsid w:val="0D5C45C0"/>
    <w:rsid w:val="0E5927C4"/>
    <w:rsid w:val="0E910299"/>
    <w:rsid w:val="0E9B4C74"/>
    <w:rsid w:val="0F3B6457"/>
    <w:rsid w:val="0F76748F"/>
    <w:rsid w:val="10DC1574"/>
    <w:rsid w:val="114E421F"/>
    <w:rsid w:val="11C269BB"/>
    <w:rsid w:val="11C87287"/>
    <w:rsid w:val="122F22A3"/>
    <w:rsid w:val="128D521B"/>
    <w:rsid w:val="1376180B"/>
    <w:rsid w:val="15595889"/>
    <w:rsid w:val="157E709D"/>
    <w:rsid w:val="165F2A2B"/>
    <w:rsid w:val="16DB47A7"/>
    <w:rsid w:val="177D585E"/>
    <w:rsid w:val="17C52D61"/>
    <w:rsid w:val="18167A61"/>
    <w:rsid w:val="1839732D"/>
    <w:rsid w:val="191E097B"/>
    <w:rsid w:val="19AA220F"/>
    <w:rsid w:val="1A3F6DFB"/>
    <w:rsid w:val="1A8D50BE"/>
    <w:rsid w:val="1B636B19"/>
    <w:rsid w:val="1B656D35"/>
    <w:rsid w:val="1BAA0BEC"/>
    <w:rsid w:val="1C640D9B"/>
    <w:rsid w:val="1C93538B"/>
    <w:rsid w:val="1C984EE8"/>
    <w:rsid w:val="1CE051F5"/>
    <w:rsid w:val="1E8A6AB3"/>
    <w:rsid w:val="1EC21DA9"/>
    <w:rsid w:val="1EF53F2C"/>
    <w:rsid w:val="1F7F413E"/>
    <w:rsid w:val="1FBE6A14"/>
    <w:rsid w:val="1FDA1374"/>
    <w:rsid w:val="202C6073"/>
    <w:rsid w:val="20607ACB"/>
    <w:rsid w:val="20BD6FBC"/>
    <w:rsid w:val="21156B08"/>
    <w:rsid w:val="213A445D"/>
    <w:rsid w:val="21463165"/>
    <w:rsid w:val="215B3A8E"/>
    <w:rsid w:val="216B2BCB"/>
    <w:rsid w:val="2188552B"/>
    <w:rsid w:val="21B75E11"/>
    <w:rsid w:val="22482F0D"/>
    <w:rsid w:val="22610A7D"/>
    <w:rsid w:val="22FB1D2D"/>
    <w:rsid w:val="231C6FDA"/>
    <w:rsid w:val="233A2855"/>
    <w:rsid w:val="235002CB"/>
    <w:rsid w:val="2389686E"/>
    <w:rsid w:val="23F76998"/>
    <w:rsid w:val="240115C5"/>
    <w:rsid w:val="246B6A3F"/>
    <w:rsid w:val="248F6BD1"/>
    <w:rsid w:val="254B5453"/>
    <w:rsid w:val="259F1096"/>
    <w:rsid w:val="25B74631"/>
    <w:rsid w:val="25B872D0"/>
    <w:rsid w:val="25DC4098"/>
    <w:rsid w:val="27257379"/>
    <w:rsid w:val="283147CD"/>
    <w:rsid w:val="283C7070"/>
    <w:rsid w:val="28B430AA"/>
    <w:rsid w:val="28C3509B"/>
    <w:rsid w:val="28ED2118"/>
    <w:rsid w:val="29EE7EF6"/>
    <w:rsid w:val="2A225B77"/>
    <w:rsid w:val="2A3F0751"/>
    <w:rsid w:val="2AB96756"/>
    <w:rsid w:val="2AC86999"/>
    <w:rsid w:val="2B0F281A"/>
    <w:rsid w:val="2B4C1378"/>
    <w:rsid w:val="2BB37649"/>
    <w:rsid w:val="2BD355F5"/>
    <w:rsid w:val="2C562C51"/>
    <w:rsid w:val="2C7E4C05"/>
    <w:rsid w:val="2CA90E5B"/>
    <w:rsid w:val="2CCD64E8"/>
    <w:rsid w:val="2D74241F"/>
    <w:rsid w:val="2DA4163E"/>
    <w:rsid w:val="2DB319D9"/>
    <w:rsid w:val="2DD66F8C"/>
    <w:rsid w:val="2E76670C"/>
    <w:rsid w:val="2EC35069"/>
    <w:rsid w:val="2F01691D"/>
    <w:rsid w:val="2F68699C"/>
    <w:rsid w:val="2F7E1D1C"/>
    <w:rsid w:val="2F8337D6"/>
    <w:rsid w:val="2FA572A9"/>
    <w:rsid w:val="2FBB2F70"/>
    <w:rsid w:val="30004E27"/>
    <w:rsid w:val="302B1DA4"/>
    <w:rsid w:val="30FA3624"/>
    <w:rsid w:val="30FA7AC8"/>
    <w:rsid w:val="31046251"/>
    <w:rsid w:val="32E620B2"/>
    <w:rsid w:val="334F51E5"/>
    <w:rsid w:val="33552D94"/>
    <w:rsid w:val="33743B62"/>
    <w:rsid w:val="33951EF8"/>
    <w:rsid w:val="347B2CCE"/>
    <w:rsid w:val="347B4A7C"/>
    <w:rsid w:val="34A15065"/>
    <w:rsid w:val="352549E8"/>
    <w:rsid w:val="355A28E3"/>
    <w:rsid w:val="355D31B9"/>
    <w:rsid w:val="364041CF"/>
    <w:rsid w:val="36835E6A"/>
    <w:rsid w:val="37503F9E"/>
    <w:rsid w:val="37781747"/>
    <w:rsid w:val="37CB5D1A"/>
    <w:rsid w:val="37F232A7"/>
    <w:rsid w:val="38685317"/>
    <w:rsid w:val="39B50A30"/>
    <w:rsid w:val="3A240899"/>
    <w:rsid w:val="3B4F3386"/>
    <w:rsid w:val="3B6025B6"/>
    <w:rsid w:val="3CD5628A"/>
    <w:rsid w:val="3D9372DA"/>
    <w:rsid w:val="3DB01C3A"/>
    <w:rsid w:val="3DBD4357"/>
    <w:rsid w:val="3E111FAD"/>
    <w:rsid w:val="3E636CAD"/>
    <w:rsid w:val="3EB47508"/>
    <w:rsid w:val="3EC51715"/>
    <w:rsid w:val="401F30A7"/>
    <w:rsid w:val="4105229D"/>
    <w:rsid w:val="41574443"/>
    <w:rsid w:val="41A82C28"/>
    <w:rsid w:val="41B65345"/>
    <w:rsid w:val="42276243"/>
    <w:rsid w:val="426A072B"/>
    <w:rsid w:val="430F11B1"/>
    <w:rsid w:val="43886603"/>
    <w:rsid w:val="43B104BA"/>
    <w:rsid w:val="440E76BA"/>
    <w:rsid w:val="443D1D4E"/>
    <w:rsid w:val="444E5D09"/>
    <w:rsid w:val="45633A36"/>
    <w:rsid w:val="45667082"/>
    <w:rsid w:val="4625473E"/>
    <w:rsid w:val="4657260A"/>
    <w:rsid w:val="47013507"/>
    <w:rsid w:val="474B6530"/>
    <w:rsid w:val="475E48C8"/>
    <w:rsid w:val="477E6905"/>
    <w:rsid w:val="48164D90"/>
    <w:rsid w:val="482F7BFF"/>
    <w:rsid w:val="485A1120"/>
    <w:rsid w:val="486E585B"/>
    <w:rsid w:val="487B1097"/>
    <w:rsid w:val="49064E04"/>
    <w:rsid w:val="49470F79"/>
    <w:rsid w:val="4A7B712C"/>
    <w:rsid w:val="4AB71B61"/>
    <w:rsid w:val="4B02784D"/>
    <w:rsid w:val="4C2973D6"/>
    <w:rsid w:val="4C725314"/>
    <w:rsid w:val="4CB330CE"/>
    <w:rsid w:val="4DD252B5"/>
    <w:rsid w:val="4DE80860"/>
    <w:rsid w:val="4E2A3343"/>
    <w:rsid w:val="4E8B1908"/>
    <w:rsid w:val="4F1F09CE"/>
    <w:rsid w:val="4FB629B4"/>
    <w:rsid w:val="4FCD667C"/>
    <w:rsid w:val="4FEB4D54"/>
    <w:rsid w:val="50224539"/>
    <w:rsid w:val="51002139"/>
    <w:rsid w:val="51A46F68"/>
    <w:rsid w:val="51C63383"/>
    <w:rsid w:val="51D51818"/>
    <w:rsid w:val="530A3743"/>
    <w:rsid w:val="54C61594"/>
    <w:rsid w:val="55055F70"/>
    <w:rsid w:val="55A25EB5"/>
    <w:rsid w:val="560A5808"/>
    <w:rsid w:val="5661367A"/>
    <w:rsid w:val="56836010"/>
    <w:rsid w:val="57DB3900"/>
    <w:rsid w:val="58A41F44"/>
    <w:rsid w:val="58BE1257"/>
    <w:rsid w:val="59121C7B"/>
    <w:rsid w:val="59594ADC"/>
    <w:rsid w:val="5A1B4488"/>
    <w:rsid w:val="5A715E56"/>
    <w:rsid w:val="5A84202D"/>
    <w:rsid w:val="5AB04BD0"/>
    <w:rsid w:val="5C531CB7"/>
    <w:rsid w:val="5C6A1E49"/>
    <w:rsid w:val="5CA16EC6"/>
    <w:rsid w:val="5CE40B61"/>
    <w:rsid w:val="5D2700D3"/>
    <w:rsid w:val="5D4D4958"/>
    <w:rsid w:val="5DA30A1C"/>
    <w:rsid w:val="5DC664B8"/>
    <w:rsid w:val="5E5B30A5"/>
    <w:rsid w:val="5F8E1258"/>
    <w:rsid w:val="5FE86BBA"/>
    <w:rsid w:val="60E94998"/>
    <w:rsid w:val="61112140"/>
    <w:rsid w:val="614C594E"/>
    <w:rsid w:val="61B256D1"/>
    <w:rsid w:val="62312A9A"/>
    <w:rsid w:val="626F35C2"/>
    <w:rsid w:val="62FD0BCE"/>
    <w:rsid w:val="632C3261"/>
    <w:rsid w:val="632E6FDA"/>
    <w:rsid w:val="63770981"/>
    <w:rsid w:val="64202DC6"/>
    <w:rsid w:val="64872E45"/>
    <w:rsid w:val="64E77440"/>
    <w:rsid w:val="64EA33D4"/>
    <w:rsid w:val="65085151"/>
    <w:rsid w:val="653A7EB8"/>
    <w:rsid w:val="65A2399D"/>
    <w:rsid w:val="65BF03BD"/>
    <w:rsid w:val="66C46FD7"/>
    <w:rsid w:val="67EC1211"/>
    <w:rsid w:val="68171BE1"/>
    <w:rsid w:val="684828EC"/>
    <w:rsid w:val="68863414"/>
    <w:rsid w:val="68A613C0"/>
    <w:rsid w:val="6942558D"/>
    <w:rsid w:val="6953779A"/>
    <w:rsid w:val="69B12712"/>
    <w:rsid w:val="69EE07EF"/>
    <w:rsid w:val="6A3A2708"/>
    <w:rsid w:val="6A727899"/>
    <w:rsid w:val="6A95793E"/>
    <w:rsid w:val="6A9F256B"/>
    <w:rsid w:val="6B040620"/>
    <w:rsid w:val="6BD821D8"/>
    <w:rsid w:val="6BF407AD"/>
    <w:rsid w:val="6C443111"/>
    <w:rsid w:val="6C975BF0"/>
    <w:rsid w:val="6CDA788A"/>
    <w:rsid w:val="6CF831F7"/>
    <w:rsid w:val="6D08089B"/>
    <w:rsid w:val="6D7C6B93"/>
    <w:rsid w:val="6DA87988"/>
    <w:rsid w:val="6DD47201"/>
    <w:rsid w:val="6EA25F07"/>
    <w:rsid w:val="6EA36ACE"/>
    <w:rsid w:val="6ED21161"/>
    <w:rsid w:val="6F3239AE"/>
    <w:rsid w:val="6F675D4D"/>
    <w:rsid w:val="6FE54EC4"/>
    <w:rsid w:val="706C417E"/>
    <w:rsid w:val="709C1A26"/>
    <w:rsid w:val="71257C6E"/>
    <w:rsid w:val="718A5D23"/>
    <w:rsid w:val="718D76AF"/>
    <w:rsid w:val="72976FC9"/>
    <w:rsid w:val="72EE470A"/>
    <w:rsid w:val="73357F10"/>
    <w:rsid w:val="74654825"/>
    <w:rsid w:val="74DD75B7"/>
    <w:rsid w:val="753D30AC"/>
    <w:rsid w:val="75D94B83"/>
    <w:rsid w:val="76CE66B2"/>
    <w:rsid w:val="76DF08BF"/>
    <w:rsid w:val="7719338D"/>
    <w:rsid w:val="77596725"/>
    <w:rsid w:val="77AA41E1"/>
    <w:rsid w:val="78F85024"/>
    <w:rsid w:val="79020895"/>
    <w:rsid w:val="79556C16"/>
    <w:rsid w:val="796055BB"/>
    <w:rsid w:val="7A635363"/>
    <w:rsid w:val="7A6608EF"/>
    <w:rsid w:val="7BE44282"/>
    <w:rsid w:val="7C2B3C5E"/>
    <w:rsid w:val="7C32323F"/>
    <w:rsid w:val="7C8E41ED"/>
    <w:rsid w:val="7C945CA8"/>
    <w:rsid w:val="7CCC3693"/>
    <w:rsid w:val="7D11554A"/>
    <w:rsid w:val="7D1E37C3"/>
    <w:rsid w:val="7E357016"/>
    <w:rsid w:val="7F3379FA"/>
    <w:rsid w:val="7F462C57"/>
    <w:rsid w:val="7F4944A6"/>
    <w:rsid w:val="7F52503B"/>
    <w:rsid w:val="7F7D6EC7"/>
    <w:rsid w:val="7F9B1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keepLines/>
      <w:adjustRightInd w:val="0"/>
      <w:snapToGrid w:val="0"/>
      <w:spacing w:line="300" w:lineRule="auto"/>
      <w:outlineLvl w:val="0"/>
    </w:pPr>
    <w:rPr>
      <w:rFonts w:ascii="宋体" w:cs="宋体"/>
      <w:kern w:val="44"/>
      <w:sz w:val="2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ind w:firstLine="0" w:firstLineChars="0"/>
      <w:outlineLvl w:val="1"/>
    </w:pPr>
    <w:rPr>
      <w:rFonts w:hAnsi="Cambria" w:cs="Times New Roman"/>
      <w:b/>
      <w:bCs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a heading"/>
    <w:basedOn w:val="1"/>
    <w:next w:val="1"/>
    <w:qFormat/>
    <w:uiPriority w:val="99"/>
    <w:pPr>
      <w:spacing w:before="120"/>
    </w:pPr>
    <w:rPr>
      <w:rFonts w:ascii="Arial" w:hAnsi="Arial" w:cs="Arial"/>
    </w:rPr>
  </w:style>
  <w:style w:type="paragraph" w:styleId="5">
    <w:name w:val="Body Text"/>
    <w:basedOn w:val="1"/>
    <w:qFormat/>
    <w:uiPriority w:val="1"/>
    <w:pPr>
      <w:spacing w:before="1"/>
      <w:ind w:left="240"/>
    </w:pPr>
    <w:rPr>
      <w:rFonts w:ascii="宋体" w:hAnsi="宋体" w:eastAsia="宋体" w:cs="宋体"/>
      <w:sz w:val="24"/>
      <w:szCs w:val="24"/>
      <w:lang w:val="zh-CN" w:eastAsia="zh-CN" w:bidi="zh-CN"/>
    </w:rPr>
  </w:style>
  <w:style w:type="paragraph" w:styleId="6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8">
    <w:name w:val="toc 1"/>
    <w:basedOn w:val="1"/>
    <w:next w:val="1"/>
    <w:qFormat/>
    <w:uiPriority w:val="39"/>
  </w:style>
  <w:style w:type="table" w:styleId="10">
    <w:name w:val="Table Grid"/>
    <w:basedOn w:val="9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页眉 Char"/>
    <w:basedOn w:val="11"/>
    <w:link w:val="7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11"/>
    <w:link w:val="6"/>
    <w:semiHidden/>
    <w:qFormat/>
    <w:uiPriority w:val="99"/>
    <w:rPr>
      <w:sz w:val="18"/>
      <w:szCs w:val="18"/>
    </w:rPr>
  </w:style>
  <w:style w:type="character" w:customStyle="1" w:styleId="14">
    <w:name w:val="标题 1 Char"/>
    <w:basedOn w:val="11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5">
    <w:name w:val="标题 1 Char1"/>
    <w:basedOn w:val="11"/>
    <w:link w:val="2"/>
    <w:qFormat/>
    <w:locked/>
    <w:uiPriority w:val="0"/>
    <w:rPr>
      <w:rFonts w:ascii="宋体" w:hAnsi="Times New Roman" w:eastAsia="宋体" w:cs="宋体"/>
      <w:kern w:val="44"/>
      <w:sz w:val="24"/>
      <w:szCs w:val="20"/>
    </w:rPr>
  </w:style>
  <w:style w:type="paragraph" w:customStyle="1" w:styleId="16">
    <w:name w:val="列出段落3"/>
    <w:basedOn w:val="1"/>
    <w:qFormat/>
    <w:uiPriority w:val="99"/>
    <w:pPr>
      <w:ind w:firstLine="420" w:firstLineChars="200"/>
    </w:pPr>
  </w:style>
  <w:style w:type="paragraph" w:customStyle="1" w:styleId="17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paragraph" w:customStyle="1" w:styleId="18">
    <w:name w:val="Table Paragraph"/>
    <w:basedOn w:val="1"/>
    <w:qFormat/>
    <w:uiPriority w:val="1"/>
    <w:pPr>
      <w:spacing w:before="201"/>
      <w:ind w:left="107"/>
    </w:pPr>
    <w:rPr>
      <w:rFonts w:ascii="宋体" w:hAnsi="宋体" w:eastAsia="宋体" w:cs="宋体"/>
      <w:lang w:val="zh-CN" w:eastAsia="zh-CN" w:bidi="zh-CN"/>
    </w:rPr>
  </w:style>
  <w:style w:type="paragraph" w:styleId="19">
    <w:name w:val="List Paragraph"/>
    <w:basedOn w:val="1"/>
    <w:qFormat/>
    <w:uiPriority w:val="1"/>
    <w:pPr>
      <w:spacing w:before="1"/>
      <w:ind w:left="240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1019</Words>
  <Characters>1077</Characters>
  <Lines>6</Lines>
  <Paragraphs>1</Paragraphs>
  <TotalTime>5</TotalTime>
  <ScaleCrop>false</ScaleCrop>
  <LinksUpToDate>false</LinksUpToDate>
  <CharactersWithSpaces>1099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2017-07-02T01:11:00Z</dcterms:created>
  <dc:creator>微软用户</dc:creator>
  <cp:lastModifiedBy>秦邦学</cp:lastModifiedBy>
  <cp:lastPrinted>2024-12-29T00:45:53Z</cp:lastPrinted>
  <dcterms:modified xsi:type="dcterms:W3CDTF">2024-12-29T00:46:15Z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95EE1470CE034EA8A4E622A3057E7EA9</vt:lpwstr>
  </property>
</Properties>
</file>