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21"/>
        </w:rPr>
      </w:pPr>
      <w:r>
        <w:rPr>
          <w:rFonts w:hint="eastAsia" w:ascii="宋体" w:hAnsi="宋体"/>
          <w:b/>
          <w:sz w:val="36"/>
          <w:szCs w:val="21"/>
        </w:rPr>
        <w:t>会  议  纪  要</w:t>
      </w:r>
    </w:p>
    <w:p>
      <w:pPr>
        <w:ind w:left="6930" w:hanging="6204" w:hangingChars="3300"/>
        <w:jc w:val="left"/>
        <w:rPr>
          <w:rFonts w:hint="eastAsia" w:ascii="宋体" w:hAnsi="宋体" w:cs="Times New Roman"/>
          <w:lang w:val="en-US" w:eastAsia="zh-CN"/>
        </w:rPr>
      </w:pPr>
      <w:r>
        <w:rPr>
          <w:rFonts w:hint="eastAsia" w:ascii="宋体" w:hAnsi="宋体" w:eastAsia="宋体" w:cs="Times New Roman"/>
          <w:b w:val="0"/>
          <w:bCs w:val="0"/>
          <w:spacing w:val="-11"/>
          <w:kern w:val="2"/>
          <w:sz w:val="21"/>
          <w:szCs w:val="21"/>
          <w:lang w:val="en-US" w:eastAsia="zh-CN" w:bidi="ar-SA"/>
        </w:rPr>
        <w:t>工程名称：高邮市鑫辰新能源有限公司汤庄镇</w:t>
      </w:r>
      <w:r>
        <w:rPr>
          <w:rFonts w:hint="eastAsia" w:ascii="宋体" w:hAnsi="宋体" w:cs="Times New Roman"/>
          <w:b w:val="0"/>
          <w:bCs w:val="0"/>
          <w:spacing w:val="-11"/>
          <w:kern w:val="2"/>
          <w:sz w:val="21"/>
          <w:szCs w:val="21"/>
          <w:lang w:val="en-US" w:eastAsia="zh-CN" w:bidi="ar-SA"/>
        </w:rPr>
        <w:t>61</w:t>
      </w:r>
      <w:r>
        <w:rPr>
          <w:rFonts w:hint="eastAsia" w:ascii="宋体" w:hAnsi="宋体" w:eastAsia="宋体" w:cs="Times New Roman"/>
          <w:b w:val="0"/>
          <w:bCs w:val="0"/>
          <w:spacing w:val="-11"/>
          <w:kern w:val="2"/>
          <w:sz w:val="21"/>
          <w:szCs w:val="21"/>
          <w:lang w:val="en-US" w:eastAsia="zh-CN" w:bidi="ar-SA"/>
        </w:rPr>
        <w:t>MW渔光互补光伏发电项目</w:t>
      </w:r>
      <w:r>
        <w:rPr>
          <w:rFonts w:hint="eastAsia" w:ascii="宋体" w:hAnsi="宋体" w:cs="Times New Roman"/>
          <w:b w:val="0"/>
          <w:bCs w:val="0"/>
          <w:kern w:val="2"/>
          <w:sz w:val="22"/>
          <w:szCs w:val="22"/>
          <w:lang w:val="en-US" w:eastAsia="zh-CN" w:bidi="ar-SA"/>
        </w:rPr>
        <w:t xml:space="preserve">  </w:t>
      </w:r>
      <w:r>
        <w:rPr>
          <w:rFonts w:hint="eastAsia" w:ascii="宋体" w:hAnsi="宋体" w:cs="Times New Roman"/>
          <w:lang w:val="en-US" w:eastAsia="zh-CN"/>
        </w:rPr>
        <w:t>编</w:t>
      </w:r>
      <w:r>
        <w:rPr>
          <w:rFonts w:hint="eastAsia" w:ascii="宋体" w:hAnsi="宋体" w:cs="Times New Roman"/>
        </w:rPr>
        <w:t>号</w:t>
      </w:r>
      <w:r>
        <w:rPr>
          <w:rFonts w:hint="eastAsia" w:ascii="宋体" w:hAnsi="宋体" w:cs="Times New Roman"/>
          <w:lang w:eastAsia="zh-CN"/>
        </w:rPr>
        <w:t>：</w:t>
      </w:r>
      <w:r>
        <w:rPr>
          <w:rFonts w:hint="eastAsia" w:ascii="宋体" w:hAnsi="宋体" w:cs="Times New Roman"/>
          <w:lang w:val="en-US" w:eastAsia="zh-CN"/>
        </w:rPr>
        <w:t>TZ-SAJL</w:t>
      </w:r>
      <w:r>
        <w:rPr>
          <w:rFonts w:hint="eastAsia" w:ascii="宋体" w:hAnsi="宋体" w:cs="Times New Roman"/>
        </w:rPr>
        <w:t>-LH-</w:t>
      </w:r>
      <w:r>
        <w:rPr>
          <w:rFonts w:hint="eastAsia" w:ascii="宋体" w:hAnsi="宋体" w:cs="Times New Roman"/>
          <w:lang w:val="en-US" w:eastAsia="zh-CN"/>
        </w:rPr>
        <w:t>2024-10-</w:t>
      </w:r>
      <w:r>
        <w:rPr>
          <w:rFonts w:hint="eastAsia" w:ascii="宋体" w:hAnsi="宋体" w:cs="Times New Roman"/>
        </w:rPr>
        <w:t>0</w:t>
      </w:r>
      <w:r>
        <w:rPr>
          <w:rFonts w:hint="eastAsia" w:ascii="宋体" w:hAnsi="宋体" w:cs="Times New Roman"/>
          <w:lang w:val="en-US" w:eastAsia="zh-CN"/>
        </w:rPr>
        <w:t>04</w:t>
      </w:r>
    </w:p>
    <w:p>
      <w:pPr>
        <w:ind w:firstLine="6300" w:firstLineChars="3000"/>
        <w:jc w:val="left"/>
        <w:rPr>
          <w:rFonts w:hint="default" w:ascii="宋体" w:hAnsi="宋体" w:eastAsia="宋体" w:cs="Times New Roman"/>
          <w:lang w:val="en-US" w:eastAsia="zh-CN"/>
        </w:rPr>
      </w:pPr>
      <w:r>
        <w:rPr>
          <w:rFonts w:hint="eastAsia" w:ascii="宋体" w:hAnsi="宋体" w:cs="Times New Roman"/>
        </w:rPr>
        <w:t>签发：</w:t>
      </w:r>
      <w:r>
        <w:rPr>
          <w:rFonts w:hint="eastAsia" w:ascii="宋体" w:hAnsi="宋体" w:cs="Times New Roman"/>
          <w:lang w:val="en-US" w:eastAsia="zh-CN"/>
        </w:rPr>
        <w:t xml:space="preserve">  </w:t>
      </w:r>
    </w:p>
    <w:tbl>
      <w:tblPr>
        <w:tblStyle w:val="9"/>
        <w:tblW w:w="9727" w:type="dxa"/>
        <w:tblInd w:w="6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810"/>
        <w:gridCol w:w="609"/>
        <w:gridCol w:w="2526"/>
        <w:gridCol w:w="1226"/>
        <w:gridCol w:w="635"/>
        <w:gridCol w:w="526"/>
        <w:gridCol w:w="23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54" w:hRule="atLeast"/>
        </w:trPr>
        <w:tc>
          <w:tcPr>
            <w:tcW w:w="2419" w:type="dxa"/>
            <w:gridSpan w:val="2"/>
            <w:tcBorders>
              <w:top w:val="single" w:color="auto" w:sz="8" w:space="0"/>
              <w:left w:val="single" w:color="auto" w:sz="8"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会议地点</w:t>
            </w:r>
          </w:p>
        </w:tc>
        <w:tc>
          <w:tcPr>
            <w:tcW w:w="2526" w:type="dxa"/>
            <w:tcBorders>
              <w:top w:val="single" w:color="auto" w:sz="8" w:space="0"/>
              <w:left w:val="single" w:color="auto" w:sz="4" w:space="0"/>
              <w:bottom w:val="single" w:color="auto" w:sz="4" w:space="0"/>
              <w:right w:val="single" w:color="auto" w:sz="4" w:space="0"/>
            </w:tcBorders>
            <w:vAlign w:val="center"/>
          </w:tcPr>
          <w:p>
            <w:pPr>
              <w:topLinePunct/>
              <w:jc w:val="center"/>
              <w:rPr>
                <w:rFonts w:hint="default" w:ascii="宋体" w:hAnsi="宋体" w:eastAsia="宋体"/>
                <w:sz w:val="24"/>
                <w:szCs w:val="24"/>
                <w:lang w:val="en-US" w:eastAsia="zh-CN"/>
              </w:rPr>
            </w:pPr>
            <w:r>
              <w:rPr>
                <w:rFonts w:hint="eastAsia" w:ascii="宋体" w:hAnsi="宋体"/>
                <w:sz w:val="24"/>
                <w:szCs w:val="24"/>
                <w:lang w:val="en-US" w:eastAsia="zh-CN"/>
              </w:rPr>
              <w:t xml:space="preserve"> 总包项目部</w:t>
            </w:r>
          </w:p>
        </w:tc>
        <w:tc>
          <w:tcPr>
            <w:tcW w:w="1861" w:type="dxa"/>
            <w:gridSpan w:val="2"/>
            <w:tcBorders>
              <w:top w:val="single" w:color="auto" w:sz="8" w:space="0"/>
              <w:left w:val="single" w:color="auto" w:sz="4" w:space="0"/>
              <w:bottom w:val="single" w:color="auto" w:sz="4" w:space="0"/>
              <w:right w:val="single" w:color="auto" w:sz="4" w:space="0"/>
            </w:tcBorders>
            <w:vAlign w:val="center"/>
          </w:tcPr>
          <w:p>
            <w:pPr>
              <w:topLinePunct/>
              <w:ind w:firstLine="240" w:firstLineChars="100"/>
              <w:jc w:val="both"/>
              <w:rPr>
                <w:rFonts w:ascii="宋体" w:hAnsi="宋体"/>
                <w:sz w:val="24"/>
                <w:szCs w:val="24"/>
              </w:rPr>
            </w:pPr>
            <w:r>
              <w:rPr>
                <w:rFonts w:hint="eastAsia" w:ascii="宋体" w:hAnsi="宋体"/>
                <w:sz w:val="24"/>
                <w:szCs w:val="24"/>
              </w:rPr>
              <w:t>会议时间</w:t>
            </w:r>
          </w:p>
        </w:tc>
        <w:tc>
          <w:tcPr>
            <w:tcW w:w="2921" w:type="dxa"/>
            <w:gridSpan w:val="2"/>
            <w:tcBorders>
              <w:top w:val="single" w:color="auto" w:sz="8" w:space="0"/>
              <w:left w:val="single" w:color="auto" w:sz="4" w:space="0"/>
              <w:bottom w:val="single" w:color="auto" w:sz="4" w:space="0"/>
              <w:right w:val="single" w:color="auto" w:sz="8" w:space="0"/>
            </w:tcBorders>
            <w:vAlign w:val="center"/>
          </w:tcPr>
          <w:p>
            <w:pPr>
              <w:topLinePunct/>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24</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28" w:hRule="atLeast"/>
        </w:trPr>
        <w:tc>
          <w:tcPr>
            <w:tcW w:w="2419" w:type="dxa"/>
            <w:gridSpan w:val="2"/>
            <w:tcBorders>
              <w:top w:val="single" w:color="auto" w:sz="4" w:space="0"/>
              <w:left w:val="single" w:color="auto" w:sz="8"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会议主持人</w:t>
            </w:r>
          </w:p>
        </w:tc>
        <w:tc>
          <w:tcPr>
            <w:tcW w:w="7308" w:type="dxa"/>
            <w:gridSpan w:val="5"/>
            <w:tcBorders>
              <w:top w:val="single" w:color="auto" w:sz="4" w:space="0"/>
              <w:left w:val="single" w:color="auto" w:sz="4" w:space="0"/>
              <w:bottom w:val="single" w:color="auto" w:sz="4" w:space="0"/>
              <w:right w:val="single" w:color="auto" w:sz="8" w:space="0"/>
            </w:tcBorders>
            <w:vAlign w:val="center"/>
          </w:tcPr>
          <w:p>
            <w:pPr>
              <w:topLinePunct/>
              <w:ind w:firstLine="1920" w:firstLineChars="800"/>
              <w:jc w:val="both"/>
              <w:rPr>
                <w:rFonts w:hint="default" w:ascii="宋体" w:hAnsi="宋体" w:eastAsia="宋体"/>
                <w:sz w:val="24"/>
                <w:szCs w:val="24"/>
                <w:lang w:val="en-US" w:eastAsia="zh-CN"/>
              </w:rPr>
            </w:pPr>
            <w:r>
              <w:rPr>
                <w:rFonts w:hint="eastAsia" w:ascii="宋体" w:hAnsi="宋体"/>
                <w:sz w:val="24"/>
                <w:szCs w:val="24"/>
                <w:lang w:val="en-US" w:eastAsia="zh-CN"/>
              </w:rPr>
              <w:t>尹生铭   秦帮学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722" w:hRule="atLeast"/>
        </w:trPr>
        <w:tc>
          <w:tcPr>
            <w:tcW w:w="9727" w:type="dxa"/>
            <w:gridSpan w:val="7"/>
            <w:tcBorders>
              <w:top w:val="single" w:color="auto" w:sz="4" w:space="0"/>
              <w:left w:val="single" w:color="auto" w:sz="8" w:space="0"/>
              <w:bottom w:val="single" w:color="auto" w:sz="4" w:space="0"/>
              <w:right w:val="single" w:color="auto" w:sz="8" w:space="0"/>
            </w:tcBorders>
            <w:vAlign w:val="center"/>
          </w:tcPr>
          <w:p>
            <w:pPr>
              <w:topLinePunct/>
              <w:rPr>
                <w:rFonts w:ascii="宋体" w:hAnsi="宋体"/>
                <w:sz w:val="24"/>
                <w:szCs w:val="24"/>
              </w:rPr>
            </w:pPr>
            <w:r>
              <w:rPr>
                <w:rFonts w:hint="eastAsia" w:ascii="宋体" w:hAnsi="宋体"/>
                <w:sz w:val="24"/>
                <w:szCs w:val="24"/>
              </w:rPr>
              <w:t>会议主题：</w:t>
            </w:r>
          </w:p>
          <w:p>
            <w:pPr>
              <w:topLinePunct/>
              <w:rPr>
                <w:rFonts w:ascii="宋体" w:hAnsi="宋体"/>
                <w:sz w:val="24"/>
                <w:szCs w:val="24"/>
              </w:rPr>
            </w:pPr>
            <w:r>
              <w:rPr>
                <w:rFonts w:hint="eastAsia" w:ascii="宋体" w:hAnsi="宋体"/>
                <w:sz w:val="24"/>
                <w:szCs w:val="24"/>
              </w:rPr>
              <w:t xml:space="preserve">     现场质量、进度、安全文明及协调事宜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8034" w:hRule="atLeast"/>
        </w:trPr>
        <w:tc>
          <w:tcPr>
            <w:tcW w:w="9727" w:type="dxa"/>
            <w:gridSpan w:val="7"/>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20" w:lineRule="exact"/>
              <w:ind w:left="479" w:leftChars="228" w:firstLine="0" w:firstLineChars="0"/>
              <w:textAlignment w:val="auto"/>
              <w:rPr>
                <w:rFonts w:ascii="宋体" w:hAnsi="宋体"/>
                <w:sz w:val="24"/>
                <w:szCs w:val="24"/>
              </w:rPr>
            </w:pPr>
            <w:r>
              <w:rPr>
                <w:rFonts w:hint="eastAsia" w:ascii="宋体" w:hAnsi="宋体"/>
                <w:sz w:val="24"/>
                <w:szCs w:val="24"/>
              </w:rPr>
              <w:t>本次会议</w:t>
            </w:r>
            <w:r>
              <w:rPr>
                <w:rFonts w:hint="eastAsia" w:ascii="宋体" w:hAnsi="宋体"/>
                <w:sz w:val="24"/>
                <w:szCs w:val="24"/>
                <w:lang w:val="en-US" w:eastAsia="zh-CN"/>
              </w:rPr>
              <w:t>施工总包单位汇报了本周施工情况和下一步工作计划，项目管理单位和监理单位就施工中存在的问题提出要求和解决办法，</w:t>
            </w:r>
            <w:r>
              <w:rPr>
                <w:rFonts w:hint="eastAsia" w:ascii="宋体" w:hAnsi="宋体"/>
                <w:sz w:val="24"/>
                <w:szCs w:val="24"/>
              </w:rPr>
              <w:t>内容</w:t>
            </w:r>
            <w:r>
              <w:rPr>
                <w:rFonts w:hint="eastAsia" w:ascii="宋体" w:hAnsi="宋体"/>
                <w:sz w:val="24"/>
                <w:szCs w:val="24"/>
                <w:lang w:val="en-US" w:eastAsia="zh-CN"/>
              </w:rPr>
              <w:t>如下</w:t>
            </w:r>
            <w:r>
              <w:rPr>
                <w:rFonts w:hint="eastAsia" w:ascii="宋体" w:hAnsi="宋体"/>
                <w:sz w:val="24"/>
                <w:szCs w:val="24"/>
              </w:rPr>
              <w:t>：</w:t>
            </w:r>
          </w:p>
          <w:p>
            <w:pPr>
              <w:keepNext w:val="0"/>
              <w:keepLines w:val="0"/>
              <w:pageBreakBefore w:val="0"/>
              <w:widowControl w:val="0"/>
              <w:kinsoku/>
              <w:wordWrap/>
              <w:overflowPunct/>
              <w:topLinePunct/>
              <w:autoSpaceDE/>
              <w:autoSpaceDN/>
              <w:bidi w:val="0"/>
              <w:adjustRightInd/>
              <w:snapToGrid/>
              <w:spacing w:line="520" w:lineRule="exact"/>
              <w:ind w:firstLine="220" w:firstLineChars="100"/>
              <w:textAlignment w:val="auto"/>
              <w:rPr>
                <w:rFonts w:ascii="宋体" w:hAnsi="宋体"/>
                <w:sz w:val="22"/>
                <w:szCs w:val="22"/>
              </w:rPr>
            </w:pPr>
            <w:r>
              <w:rPr>
                <w:rFonts w:hint="eastAsia" w:ascii="宋体" w:hAnsi="宋体" w:cs="Times New Roman"/>
                <w:sz w:val="22"/>
                <w:szCs w:val="22"/>
                <w:lang w:val="en-US" w:eastAsia="zh-CN"/>
              </w:rPr>
              <w:t>一、</w:t>
            </w:r>
            <w:r>
              <w:rPr>
                <w:rFonts w:hint="eastAsia" w:ascii="宋体" w:hAnsi="宋体"/>
                <w:b/>
                <w:bCs/>
                <w:sz w:val="24"/>
                <w:szCs w:val="24"/>
                <w:lang w:val="en-US" w:eastAsia="zh-CN"/>
              </w:rPr>
              <w:t>总包</w:t>
            </w:r>
            <w:r>
              <w:rPr>
                <w:rFonts w:hint="eastAsia" w:ascii="宋体" w:hAnsi="宋体"/>
                <w:b/>
                <w:bCs/>
                <w:sz w:val="24"/>
                <w:szCs w:val="24"/>
              </w:rPr>
              <w:t>单位：</w:t>
            </w:r>
          </w:p>
          <w:p>
            <w:pPr>
              <w:pStyle w:val="18"/>
              <w:numPr>
                <w:ilvl w:val="0"/>
                <w:numId w:val="1"/>
              </w:numPr>
              <w:tabs>
                <w:tab w:val="left" w:pos="469"/>
              </w:tabs>
              <w:spacing w:before="160" w:after="0" w:line="240" w:lineRule="auto"/>
              <w:ind w:left="468" w:right="0" w:hanging="362"/>
              <w:jc w:val="left"/>
              <w:rPr>
                <w:sz w:val="24"/>
              </w:rPr>
            </w:pPr>
            <w:r>
              <w:rPr>
                <w:sz w:val="24"/>
              </w:rPr>
              <w:t>汤庄各项目上周工作内容作汇报，详见周报；</w:t>
            </w:r>
          </w:p>
          <w:p>
            <w:pPr>
              <w:pStyle w:val="18"/>
              <w:numPr>
                <w:ilvl w:val="0"/>
                <w:numId w:val="1"/>
              </w:numPr>
              <w:tabs>
                <w:tab w:val="left" w:pos="469"/>
              </w:tabs>
              <w:spacing w:before="161" w:after="0" w:line="364" w:lineRule="auto"/>
              <w:ind w:left="107" w:right="4887" w:firstLine="0"/>
              <w:jc w:val="left"/>
              <w:rPr>
                <w:sz w:val="24"/>
              </w:rPr>
            </w:pPr>
            <w:r>
              <w:rPr>
                <w:spacing w:val="-2"/>
                <w:sz w:val="24"/>
              </w:rPr>
              <w:t>对项目当前安全形势做汇报；</w:t>
            </w:r>
          </w:p>
          <w:p>
            <w:pPr>
              <w:pStyle w:val="18"/>
              <w:numPr>
                <w:numId w:val="0"/>
              </w:numPr>
              <w:tabs>
                <w:tab w:val="left" w:pos="469"/>
              </w:tabs>
              <w:spacing w:before="161" w:after="0" w:line="364" w:lineRule="auto"/>
              <w:ind w:right="4887" w:rightChars="0"/>
              <w:jc w:val="left"/>
              <w:rPr>
                <w:sz w:val="22"/>
                <w:szCs w:val="18"/>
              </w:rPr>
            </w:pPr>
            <w:r>
              <w:rPr>
                <w:b/>
                <w:bCs/>
                <w:spacing w:val="-2"/>
                <w:sz w:val="24"/>
                <w:szCs w:val="20"/>
              </w:rPr>
              <w:t xml:space="preserve"> </w:t>
            </w:r>
            <w:r>
              <w:rPr>
                <w:b/>
                <w:bCs/>
                <w:sz w:val="24"/>
                <w:szCs w:val="20"/>
              </w:rPr>
              <w:t>二、监理</w:t>
            </w:r>
            <w:r>
              <w:rPr>
                <w:rFonts w:hint="eastAsia"/>
                <w:b/>
                <w:bCs/>
                <w:sz w:val="24"/>
                <w:szCs w:val="20"/>
                <w:lang w:val="en-US" w:eastAsia="zh-CN"/>
              </w:rPr>
              <w:t>单</w:t>
            </w:r>
            <w:r>
              <w:rPr>
                <w:b/>
                <w:bCs/>
                <w:sz w:val="24"/>
                <w:szCs w:val="20"/>
              </w:rPr>
              <w:t>位</w:t>
            </w:r>
          </w:p>
          <w:p>
            <w:pPr>
              <w:keepNext w:val="0"/>
              <w:keepLines w:val="0"/>
              <w:pageBreakBefore w:val="0"/>
              <w:widowControl w:val="0"/>
              <w:numPr>
                <w:ilvl w:val="2"/>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汤庄61MW，汤庄70MW项目已试桩试验完成2个点位；</w:t>
            </w:r>
          </w:p>
          <w:p>
            <w:pPr>
              <w:keepNext w:val="0"/>
              <w:keepLines w:val="0"/>
              <w:pageBreakBefore w:val="0"/>
              <w:widowControl w:val="0"/>
              <w:numPr>
                <w:ilvl w:val="2"/>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汤庄78MW项目已于2024年10月27日开始打桩作业；</w:t>
            </w:r>
          </w:p>
          <w:p>
            <w:pPr>
              <w:keepNext w:val="0"/>
              <w:keepLines w:val="0"/>
              <w:pageBreakBefore w:val="0"/>
              <w:widowControl w:val="0"/>
              <w:numPr>
                <w:ilvl w:val="2"/>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总包单位应及时上报施工图，进行图纸会审；</w:t>
            </w:r>
          </w:p>
          <w:p>
            <w:pPr>
              <w:keepNext w:val="0"/>
              <w:keepLines w:val="0"/>
              <w:pageBreakBefore w:val="0"/>
              <w:widowControl w:val="0"/>
              <w:numPr>
                <w:ilvl w:val="2"/>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及时对相应工序进行安全及时交底，落实到相应班组及施工人员；</w:t>
            </w:r>
          </w:p>
          <w:p>
            <w:pPr>
              <w:keepNext w:val="0"/>
              <w:keepLines w:val="0"/>
              <w:pageBreakBefore w:val="0"/>
              <w:widowControl w:val="0"/>
              <w:numPr>
                <w:ilvl w:val="2"/>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强调特种作业人员应人证合一，持证上岗，管理人员需现场核对操作人员和操作证，施工机械应及时提供合格证，年检报告；</w:t>
            </w:r>
          </w:p>
          <w:p>
            <w:pPr>
              <w:keepNext w:val="0"/>
              <w:keepLines w:val="0"/>
              <w:pageBreakBefore w:val="0"/>
              <w:widowControl w:val="0"/>
              <w:numPr>
                <w:ilvl w:val="2"/>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强调进入现场施工人员安全帽、反光背心等劳保用品应佩戴齐全；</w:t>
            </w:r>
          </w:p>
          <w:p>
            <w:pPr>
              <w:keepNext w:val="0"/>
              <w:keepLines w:val="0"/>
              <w:pageBreakBefore w:val="0"/>
              <w:widowControl w:val="0"/>
              <w:numPr>
                <w:ilvl w:val="2"/>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要求加强管桩进场验收，对不合格产品应及时清退处理，加强卸桩、拖桩、打桩过程中的成品保护；</w:t>
            </w:r>
          </w:p>
          <w:p>
            <w:pPr>
              <w:keepNext w:val="0"/>
              <w:keepLines w:val="0"/>
              <w:pageBreakBefore w:val="0"/>
              <w:widowControl w:val="0"/>
              <w:numPr>
                <w:ilvl w:val="2"/>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施工区域设置安全警示标识，并加强危险源辨识，避免机械伤害、触电、高处坠落事故发生；</w:t>
            </w:r>
          </w:p>
          <w:p>
            <w:pPr>
              <w:keepNext w:val="0"/>
              <w:keepLines w:val="0"/>
              <w:pageBreakBefore w:val="0"/>
              <w:widowControl w:val="0"/>
              <w:numPr>
                <w:ilvl w:val="2"/>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进场施工人员应及时进行三级安全教育并配备相应意外保险，项目工程一切险应及时上报；</w:t>
            </w:r>
          </w:p>
          <w:p>
            <w:pPr>
              <w:pStyle w:val="5"/>
              <w:spacing w:before="2"/>
              <w:rPr>
                <w:b/>
                <w:bCs/>
                <w:sz w:val="24"/>
                <w:szCs w:val="24"/>
              </w:rPr>
            </w:pPr>
            <w:r>
              <w:rPr>
                <w:b/>
                <w:bCs/>
                <w:sz w:val="24"/>
                <w:szCs w:val="24"/>
              </w:rPr>
              <w:t>三、监管单位</w:t>
            </w:r>
          </w:p>
          <w:p>
            <w:pPr>
              <w:keepNext w:val="0"/>
              <w:keepLines w:val="0"/>
              <w:pageBreakBefore w:val="0"/>
              <w:widowControl w:val="0"/>
              <w:numPr>
                <w:ilvl w:val="1"/>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确认各分包单位合同是否已签订完成；</w:t>
            </w:r>
          </w:p>
          <w:p>
            <w:pPr>
              <w:keepNext w:val="0"/>
              <w:keepLines w:val="0"/>
              <w:pageBreakBefore w:val="0"/>
              <w:widowControl w:val="0"/>
              <w:numPr>
                <w:ilvl w:val="1"/>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制定现场管理处罚条例建设单位授权各监理单位对各种违规事项进行处罚；</w:t>
            </w:r>
          </w:p>
          <w:p>
            <w:pPr>
              <w:keepNext w:val="0"/>
              <w:keepLines w:val="0"/>
              <w:pageBreakBefore w:val="0"/>
              <w:widowControl w:val="0"/>
              <w:numPr>
                <w:ilvl w:val="1"/>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各施工区域设置施工告示牌其内容应明确总包单位、新霖飞、施工班组等相应负责人及联系方式；</w:t>
            </w:r>
          </w:p>
          <w:p>
            <w:pPr>
              <w:keepNext w:val="0"/>
              <w:keepLines w:val="0"/>
              <w:pageBreakBefore w:val="0"/>
              <w:widowControl w:val="0"/>
              <w:numPr>
                <w:ilvl w:val="1"/>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目前现场材料申报存在问题，管桩厂家未及时报审，到场材料未及时报验；</w:t>
            </w:r>
          </w:p>
          <w:p>
            <w:pPr>
              <w:keepNext w:val="0"/>
              <w:keepLines w:val="0"/>
              <w:pageBreakBefore w:val="0"/>
              <w:widowControl w:val="0"/>
              <w:numPr>
                <w:ilvl w:val="1"/>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塘口改造若存在变更，应及时书面上报监理并提供村委同意变更说明；</w:t>
            </w:r>
          </w:p>
          <w:p>
            <w:pPr>
              <w:pStyle w:val="5"/>
              <w:rPr>
                <w:rFonts w:hint="eastAsia" w:ascii="宋体" w:hAnsi="宋体"/>
                <w:sz w:val="24"/>
                <w:szCs w:val="24"/>
                <w:lang w:val="en-US" w:eastAsia="zh-CN"/>
              </w:rPr>
            </w:pPr>
            <w:r>
              <w:rPr>
                <w:rFonts w:hint="eastAsia" w:ascii="宋体" w:hAnsi="宋体"/>
                <w:sz w:val="24"/>
                <w:szCs w:val="24"/>
                <w:lang w:val="en-US" w:eastAsia="zh-CN"/>
              </w:rPr>
              <w:t>试桩打桩记录应监理单位盖章确认后检测单位依据打桩记录进行检测并出具报告；</w:t>
            </w:r>
          </w:p>
          <w:p>
            <w:pPr>
              <w:pStyle w:val="5"/>
              <w:ind w:left="0" w:leftChars="0" w:firstLine="241" w:firstLineChars="100"/>
              <w:rPr>
                <w:b/>
                <w:bCs/>
                <w:sz w:val="24"/>
                <w:szCs w:val="24"/>
              </w:rPr>
            </w:pPr>
            <w:r>
              <w:rPr>
                <w:b/>
                <w:bCs/>
                <w:sz w:val="24"/>
                <w:szCs w:val="24"/>
              </w:rPr>
              <w:t>四、建设单位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1.对已接收塘口进行复核反馈确认；</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2.加快当前红线外土地确认情况，尽快组织测绘、地勘进场测绘；</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3.加强安全问题落实整改；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4.外运土方进场及时上报监理单位、建设单位，并办齐相应手续；</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5.加强材料设备进场报审情况，相应供货厂家应在合同短名单内；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6.塘口改造若未方案进行，需村委书面同意变更后改造方案；</w:t>
            </w:r>
          </w:p>
          <w:p>
            <w:pPr>
              <w:pStyle w:val="19"/>
              <w:numPr>
                <w:ilvl w:val="0"/>
                <w:numId w:val="0"/>
              </w:numPr>
              <w:tabs>
                <w:tab w:val="left" w:pos="601"/>
              </w:tabs>
              <w:spacing w:before="160" w:after="0" w:line="240" w:lineRule="auto"/>
              <w:ind w:leftChars="0" w:right="0" w:rightChars="0"/>
              <w:jc w:val="left"/>
              <w:rPr>
                <w:rFonts w:hint="eastAsia" w:ascii="宋体" w:hAnsi="宋体" w:cs="Times New Roman"/>
                <w:sz w:val="24"/>
                <w:szCs w:val="24"/>
                <w:lang w:val="en-US" w:eastAsia="zh-CN"/>
              </w:rPr>
            </w:pPr>
            <w:r>
              <w:rPr>
                <w:rFonts w:hint="eastAsia"/>
                <w:sz w:val="24"/>
                <w:szCs w:val="24"/>
                <w:lang w:val="en-US" w:eastAsia="zh-CN"/>
              </w:rPr>
              <w:t>7.</w:t>
            </w:r>
            <w:r>
              <w:rPr>
                <w:rFonts w:hint="eastAsia" w:ascii="宋体" w:hAnsi="宋体"/>
                <w:sz w:val="24"/>
                <w:szCs w:val="24"/>
                <w:lang w:val="en-US" w:eastAsia="zh-CN"/>
              </w:rPr>
              <w:t>加强跟进升压站土地手续情况及集电线路用地情况；</w:t>
            </w:r>
          </w:p>
          <w:tbl>
            <w:tblPr>
              <w:tblStyle w:val="10"/>
              <w:tblpPr w:leftFromText="180" w:rightFromText="180" w:vertAnchor="text" w:horzAnchor="page" w:tblpX="-63" w:tblpY="91"/>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647" w:type="dxa"/>
                  <w:vAlign w:val="center"/>
                </w:tcPr>
                <w:p>
                  <w:pPr>
                    <w:keepNext w:val="0"/>
                    <w:keepLines w:val="0"/>
                    <w:pageBreakBefore w:val="0"/>
                    <w:widowControl w:val="0"/>
                    <w:kinsoku/>
                    <w:wordWrap/>
                    <w:overflowPunct/>
                    <w:topLinePunct/>
                    <w:autoSpaceDE/>
                    <w:autoSpaceDN/>
                    <w:bidi w:val="0"/>
                    <w:adjustRightInd/>
                    <w:snapToGrid/>
                    <w:spacing w:line="520" w:lineRule="exact"/>
                    <w:jc w:val="center"/>
                    <w:textAlignment w:val="auto"/>
                    <w:rPr>
                      <w:rFonts w:hint="default" w:ascii="宋体" w:hAnsi="宋体"/>
                      <w:sz w:val="24"/>
                      <w:szCs w:val="24"/>
                      <w:vertAlign w:val="baseline"/>
                      <w:lang w:val="en-US" w:eastAsia="zh-CN"/>
                    </w:rPr>
                  </w:pPr>
                  <w:r>
                    <w:rPr>
                      <w:rFonts w:hint="eastAsia" w:ascii="宋体" w:hAnsi="宋体"/>
                      <w:sz w:val="24"/>
                      <w:szCs w:val="24"/>
                      <w:lang w:val="en-US" w:eastAsia="zh-CN"/>
                    </w:rPr>
                    <w:t>主</w:t>
                  </w:r>
                  <w:r>
                    <w:rPr>
                      <w:rFonts w:hint="eastAsia" w:ascii="宋体" w:hAnsi="宋体"/>
                      <w:sz w:val="24"/>
                      <w:szCs w:val="24"/>
                    </w:rPr>
                    <w:t>送单位</w:t>
                  </w:r>
                </w:p>
              </w:tc>
              <w:tc>
                <w:tcPr>
                  <w:tcW w:w="8373" w:type="dxa"/>
                  <w:vAlign w:val="center"/>
                </w:tcPr>
                <w:p>
                  <w:pPr>
                    <w:pStyle w:val="8"/>
                    <w:keepNext w:val="0"/>
                    <w:keepLines w:val="0"/>
                    <w:pageBreakBefore w:val="0"/>
                    <w:widowControl w:val="0"/>
                    <w:tabs>
                      <w:tab w:val="right" w:leader="dot" w:pos="9016"/>
                    </w:tabs>
                    <w:kinsoku/>
                    <w:wordWrap/>
                    <w:overflowPunct/>
                    <w:topLinePunct w:val="0"/>
                    <w:autoSpaceDE/>
                    <w:autoSpaceDN/>
                    <w:bidi w:val="0"/>
                    <w:adjustRightInd/>
                    <w:snapToGrid/>
                    <w:spacing w:line="240" w:lineRule="exact"/>
                    <w:ind w:right="-313" w:rightChars="-149" w:firstLine="240" w:firstLineChars="100"/>
                    <w:jc w:val="both"/>
                    <w:textAlignment w:val="auto"/>
                    <w:rPr>
                      <w:rFonts w:hint="eastAsia"/>
                      <w:b w:val="0"/>
                      <w:bCs w:val="0"/>
                      <w:sz w:val="24"/>
                      <w:szCs w:val="24"/>
                      <w:vertAlign w:val="baseline"/>
                      <w:lang w:val="en-US" w:eastAsia="zh-CN"/>
                    </w:rPr>
                  </w:pPr>
                  <w:r>
                    <w:rPr>
                      <w:rFonts w:hint="eastAsia" w:asciiTheme="minorHAnsi" w:hAnsiTheme="minorHAnsi" w:eastAsiaTheme="minorEastAsia" w:cstheme="minorBidi"/>
                      <w:kern w:val="2"/>
                      <w:sz w:val="24"/>
                      <w:szCs w:val="24"/>
                      <w:lang w:val="en-US" w:eastAsia="zh-CN" w:bidi="ar-SA"/>
                    </w:rPr>
                    <w:t>信息产业电子第十一设计研究院科技工程股份有限公司</w:t>
                  </w:r>
                  <w:r>
                    <w:rPr>
                      <w:rFonts w:hint="eastAsia"/>
                      <w:b w:val="0"/>
                      <w:bCs w:val="0"/>
                      <w:sz w:val="24"/>
                      <w:szCs w:val="24"/>
                      <w:vertAlign w:val="baseline"/>
                      <w:lang w:val="en-US" w:eastAsia="zh-CN"/>
                    </w:rPr>
                    <w:t>（总包项目部）</w:t>
                  </w:r>
                </w:p>
                <w:p>
                  <w:pPr>
                    <w:keepNext w:val="0"/>
                    <w:keepLines w:val="0"/>
                    <w:pageBreakBefore w:val="0"/>
                    <w:widowControl w:val="0"/>
                    <w:kinsoku/>
                    <w:wordWrap/>
                    <w:overflowPunct/>
                    <w:topLinePunct/>
                    <w:autoSpaceDE/>
                    <w:autoSpaceDN/>
                    <w:bidi w:val="0"/>
                    <w:adjustRightInd/>
                    <w:snapToGrid/>
                    <w:spacing w:line="240" w:lineRule="exact"/>
                    <w:ind w:firstLine="720" w:firstLineChars="300"/>
                    <w:jc w:val="both"/>
                    <w:textAlignment w:val="auto"/>
                    <w:rPr>
                      <w:rFonts w:hint="default" w:ascii="宋体" w:hAnsi="宋体"/>
                      <w:sz w:val="24"/>
                      <w:szCs w:val="24"/>
                      <w:vertAlign w:val="baseline"/>
                      <w:lang w:val="en-US" w:eastAsia="zh-CN"/>
                    </w:rPr>
                  </w:pPr>
                  <w:r>
                    <w:rPr>
                      <w:rFonts w:hint="eastAsia" w:asciiTheme="minorHAnsi" w:hAnsiTheme="minorHAnsi" w:eastAsiaTheme="minorEastAsia" w:cstheme="minorBidi"/>
                      <w:kern w:val="2"/>
                      <w:sz w:val="24"/>
                      <w:szCs w:val="24"/>
                      <w:lang w:val="en-US" w:eastAsia="zh-CN" w:bidi="ar-SA"/>
                    </w:rPr>
                    <w:t>新霖飞（扬州）光伏科技有限公司</w:t>
                  </w:r>
                  <w:r>
                    <w:rPr>
                      <w:rFonts w:hint="eastAsia"/>
                      <w:b w:val="0"/>
                      <w:bCs w:val="0"/>
                      <w:sz w:val="24"/>
                      <w:szCs w:val="24"/>
                      <w:vertAlign w:val="baseline"/>
                      <w:lang w:val="en-US" w:eastAsia="zh-CN"/>
                    </w:rPr>
                    <w:t>（总包项目部）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647" w:type="dxa"/>
                </w:tcPr>
                <w:p>
                  <w:pPr>
                    <w:keepNext w:val="0"/>
                    <w:keepLines w:val="0"/>
                    <w:pageBreakBefore w:val="0"/>
                    <w:widowControl w:val="0"/>
                    <w:kinsoku/>
                    <w:wordWrap/>
                    <w:overflowPunct/>
                    <w:topLinePunct/>
                    <w:autoSpaceDE/>
                    <w:autoSpaceDN/>
                    <w:bidi w:val="0"/>
                    <w:adjustRightInd/>
                    <w:snapToGrid/>
                    <w:spacing w:line="520" w:lineRule="exact"/>
                    <w:jc w:val="center"/>
                    <w:textAlignment w:val="auto"/>
                    <w:rPr>
                      <w:rFonts w:hint="eastAsia" w:ascii="宋体" w:hAnsi="宋体"/>
                      <w:sz w:val="24"/>
                      <w:szCs w:val="24"/>
                    </w:rPr>
                  </w:pPr>
                  <w:r>
                    <w:rPr>
                      <w:rFonts w:hint="eastAsia" w:ascii="宋体" w:hAnsi="宋体"/>
                      <w:sz w:val="24"/>
                      <w:szCs w:val="24"/>
                    </w:rPr>
                    <w:t>抄送单位</w:t>
                  </w:r>
                </w:p>
              </w:tc>
              <w:tc>
                <w:tcPr>
                  <w:tcW w:w="8373" w:type="dxa"/>
                  <w:vAlign w:val="center"/>
                </w:tcPr>
                <w:p>
                  <w:pPr>
                    <w:keepNext w:val="0"/>
                    <w:keepLines w:val="0"/>
                    <w:pageBreakBefore w:val="0"/>
                    <w:widowControl w:val="0"/>
                    <w:kinsoku/>
                    <w:wordWrap/>
                    <w:overflowPunct/>
                    <w:topLinePunct/>
                    <w:autoSpaceDE/>
                    <w:autoSpaceDN/>
                    <w:bidi w:val="0"/>
                    <w:adjustRightInd/>
                    <w:snapToGrid/>
                    <w:spacing w:line="520" w:lineRule="exact"/>
                    <w:ind w:firstLine="1920" w:firstLineChars="800"/>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高邮市鑫辰新能源有限公司</w:t>
                  </w:r>
                </w:p>
              </w:tc>
            </w:tr>
          </w:tbl>
          <w:p>
            <w:pPr>
              <w:keepNext w:val="0"/>
              <w:keepLines w:val="0"/>
              <w:pageBreakBefore w:val="0"/>
              <w:tabs>
                <w:tab w:val="center" w:pos="4153"/>
                <w:tab w:val="right" w:pos="8306"/>
              </w:tabs>
              <w:kinsoku/>
              <w:overflowPunct/>
              <w:autoSpaceDE/>
              <w:autoSpaceDN/>
              <w:bidi w:val="0"/>
              <w:adjustRightInd/>
              <w:snapToGrid w:val="0"/>
              <w:spacing w:before="280" w:after="280" w:line="380" w:lineRule="exact"/>
              <w:jc w:val="both"/>
              <w:textAlignment w:val="auto"/>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827" w:hRule="atLeast"/>
        </w:trPr>
        <w:tc>
          <w:tcPr>
            <w:tcW w:w="1810" w:type="dxa"/>
            <w:tcBorders>
              <w:top w:val="single" w:color="auto" w:sz="4" w:space="0"/>
              <w:left w:val="single" w:color="auto" w:sz="8" w:space="0"/>
              <w:bottom w:val="single" w:color="auto" w:sz="8" w:space="0"/>
              <w:right w:val="single" w:color="auto" w:sz="4" w:space="0"/>
            </w:tcBorders>
            <w:vAlign w:val="center"/>
          </w:tcPr>
          <w:p>
            <w:pPr>
              <w:topLinePunct/>
              <w:jc w:val="center"/>
              <w:rPr>
                <w:rFonts w:ascii="宋体" w:hAnsi="宋体"/>
                <w:sz w:val="24"/>
                <w:szCs w:val="24"/>
              </w:rPr>
            </w:pPr>
            <w:r>
              <w:rPr>
                <w:rFonts w:hint="eastAsia" w:ascii="宋体" w:hAnsi="宋体"/>
                <w:sz w:val="24"/>
                <w:szCs w:val="24"/>
                <w:lang w:eastAsia="zh-CN"/>
              </w:rPr>
              <w:t xml:space="preserve"> </w:t>
            </w:r>
            <w:r>
              <w:rPr>
                <w:rFonts w:hint="eastAsia" w:ascii="宋体" w:hAnsi="宋体"/>
                <w:sz w:val="24"/>
                <w:szCs w:val="24"/>
              </w:rPr>
              <w:t>发文单位</w:t>
            </w:r>
          </w:p>
        </w:tc>
        <w:tc>
          <w:tcPr>
            <w:tcW w:w="436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80" w:lineRule="exact"/>
              <w:textAlignment w:val="auto"/>
              <w:rPr>
                <w:rFonts w:hint="default" w:ascii="宋体" w:hAnsi="宋体"/>
                <w:sz w:val="24"/>
                <w:szCs w:val="24"/>
                <w:lang w:val="en-US"/>
              </w:rPr>
            </w:pPr>
            <w:r>
              <w:rPr>
                <w:rFonts w:hint="eastAsia" w:asciiTheme="minorHAnsi" w:hAnsiTheme="minorHAnsi" w:eastAsiaTheme="minorEastAsia" w:cstheme="minorBidi"/>
                <w:kern w:val="2"/>
                <w:sz w:val="24"/>
                <w:szCs w:val="24"/>
                <w:lang w:val="en-US" w:eastAsia="zh-CN" w:bidi="ar-SA"/>
              </w:rPr>
              <w:t>高邮市鑫辰新能源有限公司汤庄镇61</w:t>
            </w:r>
            <w:bookmarkStart w:id="0" w:name="_GoBack"/>
            <w:bookmarkEnd w:id="0"/>
            <w:r>
              <w:rPr>
                <w:rFonts w:hint="eastAsia" w:asciiTheme="minorHAnsi" w:hAnsiTheme="minorHAnsi" w:eastAsiaTheme="minorEastAsia" w:cstheme="minorBidi"/>
                <w:kern w:val="2"/>
                <w:sz w:val="24"/>
                <w:szCs w:val="24"/>
                <w:lang w:val="en-US" w:eastAsia="zh-CN" w:bidi="ar-SA"/>
              </w:rPr>
              <w:t>MW渔光互补光伏发电项目监理项目部</w:t>
            </w:r>
          </w:p>
        </w:tc>
        <w:tc>
          <w:tcPr>
            <w:tcW w:w="1161" w:type="dxa"/>
            <w:gridSpan w:val="2"/>
            <w:tcBorders>
              <w:top w:val="single" w:color="auto" w:sz="4" w:space="0"/>
              <w:left w:val="single" w:color="auto" w:sz="4" w:space="0"/>
              <w:bottom w:val="single" w:color="auto" w:sz="8"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发文时间</w:t>
            </w:r>
          </w:p>
        </w:tc>
        <w:tc>
          <w:tcPr>
            <w:tcW w:w="2395" w:type="dxa"/>
            <w:tcBorders>
              <w:top w:val="single" w:color="auto" w:sz="4" w:space="0"/>
              <w:left w:val="single" w:color="auto" w:sz="4" w:space="0"/>
              <w:bottom w:val="single" w:color="auto" w:sz="8" w:space="0"/>
              <w:right w:val="single" w:color="auto" w:sz="8" w:space="0"/>
            </w:tcBorders>
            <w:vAlign w:val="center"/>
          </w:tcPr>
          <w:p>
            <w:pPr>
              <w:topLinePunct/>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24</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 xml:space="preserve"> 30</w:t>
            </w:r>
            <w:r>
              <w:rPr>
                <w:rFonts w:hint="eastAsia" w:ascii="宋体" w:hAnsi="宋体"/>
                <w:sz w:val="24"/>
                <w:szCs w:val="24"/>
              </w:rPr>
              <w:t>日</w:t>
            </w:r>
          </w:p>
        </w:tc>
      </w:tr>
    </w:tbl>
    <w:p>
      <w:pPr>
        <w:spacing w:line="300" w:lineRule="auto"/>
        <w:ind w:firstLine="420" w:firstLineChars="200"/>
        <w:rPr>
          <w:rFonts w:ascii="宋体" w:hAnsi="宋体"/>
        </w:rPr>
      </w:pPr>
      <w:r>
        <w:rPr>
          <w:rFonts w:hint="eastAsia" w:ascii="宋体" w:hAnsi="宋体"/>
        </w:rPr>
        <w:t>注：会议纪要由监理项目部起草，经总监理工程师签发后下发。</w:t>
      </w:r>
    </w:p>
    <w:sectPr>
      <w:pgSz w:w="11906" w:h="16838"/>
      <w:pgMar w:top="1417" w:right="850"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68"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61" w:hanging="361"/>
      </w:pPr>
      <w:rPr>
        <w:rFonts w:hint="default"/>
        <w:lang w:val="zh-CN" w:eastAsia="zh-CN" w:bidi="zh-CN"/>
      </w:rPr>
    </w:lvl>
    <w:lvl w:ilvl="2" w:tentative="0">
      <w:start w:val="0"/>
      <w:numFmt w:val="bullet"/>
      <w:lvlText w:val="•"/>
      <w:lvlJc w:val="left"/>
      <w:pPr>
        <w:ind w:left="2063" w:hanging="361"/>
      </w:pPr>
      <w:rPr>
        <w:rFonts w:hint="default"/>
        <w:lang w:val="zh-CN" w:eastAsia="zh-CN" w:bidi="zh-CN"/>
      </w:rPr>
    </w:lvl>
    <w:lvl w:ilvl="3" w:tentative="0">
      <w:start w:val="0"/>
      <w:numFmt w:val="bullet"/>
      <w:lvlText w:val="•"/>
      <w:lvlJc w:val="left"/>
      <w:pPr>
        <w:ind w:left="2865" w:hanging="361"/>
      </w:pPr>
      <w:rPr>
        <w:rFonts w:hint="default"/>
        <w:lang w:val="zh-CN" w:eastAsia="zh-CN" w:bidi="zh-CN"/>
      </w:rPr>
    </w:lvl>
    <w:lvl w:ilvl="4" w:tentative="0">
      <w:start w:val="0"/>
      <w:numFmt w:val="bullet"/>
      <w:lvlText w:val="•"/>
      <w:lvlJc w:val="left"/>
      <w:pPr>
        <w:ind w:left="3666" w:hanging="361"/>
      </w:pPr>
      <w:rPr>
        <w:rFonts w:hint="default"/>
        <w:lang w:val="zh-CN" w:eastAsia="zh-CN" w:bidi="zh-CN"/>
      </w:rPr>
    </w:lvl>
    <w:lvl w:ilvl="5" w:tentative="0">
      <w:start w:val="0"/>
      <w:numFmt w:val="bullet"/>
      <w:lvlText w:val="•"/>
      <w:lvlJc w:val="left"/>
      <w:pPr>
        <w:ind w:left="4468" w:hanging="361"/>
      </w:pPr>
      <w:rPr>
        <w:rFonts w:hint="default"/>
        <w:lang w:val="zh-CN" w:eastAsia="zh-CN" w:bidi="zh-CN"/>
      </w:rPr>
    </w:lvl>
    <w:lvl w:ilvl="6" w:tentative="0">
      <w:start w:val="0"/>
      <w:numFmt w:val="bullet"/>
      <w:lvlText w:val="•"/>
      <w:lvlJc w:val="left"/>
      <w:pPr>
        <w:ind w:left="5270" w:hanging="361"/>
      </w:pPr>
      <w:rPr>
        <w:rFonts w:hint="default"/>
        <w:lang w:val="zh-CN" w:eastAsia="zh-CN" w:bidi="zh-CN"/>
      </w:rPr>
    </w:lvl>
    <w:lvl w:ilvl="7" w:tentative="0">
      <w:start w:val="0"/>
      <w:numFmt w:val="bullet"/>
      <w:lvlText w:val="•"/>
      <w:lvlJc w:val="left"/>
      <w:pPr>
        <w:ind w:left="6071" w:hanging="361"/>
      </w:pPr>
      <w:rPr>
        <w:rFonts w:hint="default"/>
        <w:lang w:val="zh-CN" w:eastAsia="zh-CN" w:bidi="zh-CN"/>
      </w:rPr>
    </w:lvl>
    <w:lvl w:ilvl="8" w:tentative="0">
      <w:start w:val="0"/>
      <w:numFmt w:val="bullet"/>
      <w:lvlText w:val="•"/>
      <w:lvlJc w:val="left"/>
      <w:pPr>
        <w:ind w:left="6873" w:hanging="361"/>
      </w:pPr>
      <w:rPr>
        <w:rFonts w:hint="default"/>
        <w:lang w:val="zh-CN" w:eastAsia="zh-CN" w:bidi="zh-CN"/>
      </w:rPr>
    </w:lvl>
  </w:abstractNum>
  <w:abstractNum w:abstractNumId="1">
    <w:nsid w:val="67B01A01"/>
    <w:multiLevelType w:val="multilevel"/>
    <w:tmpl w:val="67B01A01"/>
    <w:lvl w:ilvl="0" w:tentative="0">
      <w:start w:val="1"/>
      <w:numFmt w:val="chineseCounting"/>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00C3422C"/>
    <w:rsid w:val="00015FF7"/>
    <w:rsid w:val="002E1F6F"/>
    <w:rsid w:val="00324796"/>
    <w:rsid w:val="003F27A7"/>
    <w:rsid w:val="003F4B5A"/>
    <w:rsid w:val="00443541"/>
    <w:rsid w:val="00495357"/>
    <w:rsid w:val="005F4E22"/>
    <w:rsid w:val="007934FF"/>
    <w:rsid w:val="00920FD8"/>
    <w:rsid w:val="00932385"/>
    <w:rsid w:val="009420EF"/>
    <w:rsid w:val="00A17DF3"/>
    <w:rsid w:val="00A34885"/>
    <w:rsid w:val="00BA2E0A"/>
    <w:rsid w:val="00BF2BA1"/>
    <w:rsid w:val="00C3422C"/>
    <w:rsid w:val="00D34580"/>
    <w:rsid w:val="00D8750C"/>
    <w:rsid w:val="00F83F4B"/>
    <w:rsid w:val="01A93FA3"/>
    <w:rsid w:val="020B07BA"/>
    <w:rsid w:val="02682BCA"/>
    <w:rsid w:val="026863AC"/>
    <w:rsid w:val="02A906AB"/>
    <w:rsid w:val="038500F8"/>
    <w:rsid w:val="03936A9A"/>
    <w:rsid w:val="03C230FA"/>
    <w:rsid w:val="03EB21FB"/>
    <w:rsid w:val="04EB48D3"/>
    <w:rsid w:val="04F44C4D"/>
    <w:rsid w:val="05685F23"/>
    <w:rsid w:val="057448C8"/>
    <w:rsid w:val="061F2A86"/>
    <w:rsid w:val="06C90C44"/>
    <w:rsid w:val="06D73361"/>
    <w:rsid w:val="07434552"/>
    <w:rsid w:val="07AF25A1"/>
    <w:rsid w:val="080D2DB2"/>
    <w:rsid w:val="082A73B0"/>
    <w:rsid w:val="08C77405"/>
    <w:rsid w:val="0A116B8A"/>
    <w:rsid w:val="0A1B7A08"/>
    <w:rsid w:val="0A4B574B"/>
    <w:rsid w:val="0ABD4D97"/>
    <w:rsid w:val="0B1E1CA6"/>
    <w:rsid w:val="0C41127C"/>
    <w:rsid w:val="0C760F26"/>
    <w:rsid w:val="0C970868"/>
    <w:rsid w:val="0CF14A50"/>
    <w:rsid w:val="0D5C45C0"/>
    <w:rsid w:val="0E5927C4"/>
    <w:rsid w:val="0E910299"/>
    <w:rsid w:val="0E9B4C74"/>
    <w:rsid w:val="0F3B6457"/>
    <w:rsid w:val="0F76748F"/>
    <w:rsid w:val="10DC1574"/>
    <w:rsid w:val="114E421F"/>
    <w:rsid w:val="11C269BB"/>
    <w:rsid w:val="11C87287"/>
    <w:rsid w:val="122F22A3"/>
    <w:rsid w:val="128D521B"/>
    <w:rsid w:val="1376180B"/>
    <w:rsid w:val="15595889"/>
    <w:rsid w:val="157E709D"/>
    <w:rsid w:val="165F2A2B"/>
    <w:rsid w:val="16DB47A7"/>
    <w:rsid w:val="177D585E"/>
    <w:rsid w:val="17C52D61"/>
    <w:rsid w:val="18167A61"/>
    <w:rsid w:val="1839732D"/>
    <w:rsid w:val="191E097B"/>
    <w:rsid w:val="19AA220F"/>
    <w:rsid w:val="1A3F6DFB"/>
    <w:rsid w:val="1A8D50BE"/>
    <w:rsid w:val="1B656D35"/>
    <w:rsid w:val="1BAA0BEC"/>
    <w:rsid w:val="1C640D9B"/>
    <w:rsid w:val="1C93538B"/>
    <w:rsid w:val="1C984EE8"/>
    <w:rsid w:val="1CE051F5"/>
    <w:rsid w:val="1E8A6AB3"/>
    <w:rsid w:val="1EF53F2C"/>
    <w:rsid w:val="1F7F413E"/>
    <w:rsid w:val="1FBE6A14"/>
    <w:rsid w:val="1FDA1374"/>
    <w:rsid w:val="202C6073"/>
    <w:rsid w:val="20607ACB"/>
    <w:rsid w:val="21156B08"/>
    <w:rsid w:val="213A445D"/>
    <w:rsid w:val="21463165"/>
    <w:rsid w:val="215B3A8E"/>
    <w:rsid w:val="216B2BCB"/>
    <w:rsid w:val="2188552B"/>
    <w:rsid w:val="21B75E11"/>
    <w:rsid w:val="22482F0D"/>
    <w:rsid w:val="22610A7D"/>
    <w:rsid w:val="22FB1D2D"/>
    <w:rsid w:val="231C6FDA"/>
    <w:rsid w:val="233A2855"/>
    <w:rsid w:val="235002CB"/>
    <w:rsid w:val="2389686E"/>
    <w:rsid w:val="23F76998"/>
    <w:rsid w:val="240115C5"/>
    <w:rsid w:val="246B6A3F"/>
    <w:rsid w:val="248F6BD1"/>
    <w:rsid w:val="254B5453"/>
    <w:rsid w:val="259F1096"/>
    <w:rsid w:val="25B74631"/>
    <w:rsid w:val="25B872D0"/>
    <w:rsid w:val="25DC4098"/>
    <w:rsid w:val="27257379"/>
    <w:rsid w:val="283147CD"/>
    <w:rsid w:val="28B430AA"/>
    <w:rsid w:val="28C3509B"/>
    <w:rsid w:val="28ED2118"/>
    <w:rsid w:val="29EE7EF6"/>
    <w:rsid w:val="2A225B77"/>
    <w:rsid w:val="2AB96756"/>
    <w:rsid w:val="2AC86999"/>
    <w:rsid w:val="2B0F281A"/>
    <w:rsid w:val="2B4C1378"/>
    <w:rsid w:val="2BB37649"/>
    <w:rsid w:val="2BD355F5"/>
    <w:rsid w:val="2C562C51"/>
    <w:rsid w:val="2C7E4C05"/>
    <w:rsid w:val="2CA90E5B"/>
    <w:rsid w:val="2CCD64E8"/>
    <w:rsid w:val="2DA4163E"/>
    <w:rsid w:val="2DB319D9"/>
    <w:rsid w:val="2DD66F8C"/>
    <w:rsid w:val="2E76670C"/>
    <w:rsid w:val="2EC35069"/>
    <w:rsid w:val="2F01691D"/>
    <w:rsid w:val="2F68699C"/>
    <w:rsid w:val="2F7E1D1C"/>
    <w:rsid w:val="2F8337D6"/>
    <w:rsid w:val="2FA572A9"/>
    <w:rsid w:val="302B1DA4"/>
    <w:rsid w:val="30FA3624"/>
    <w:rsid w:val="30FA7AC8"/>
    <w:rsid w:val="31046251"/>
    <w:rsid w:val="32E620B2"/>
    <w:rsid w:val="334F51E5"/>
    <w:rsid w:val="33552D94"/>
    <w:rsid w:val="33743B62"/>
    <w:rsid w:val="33951EF8"/>
    <w:rsid w:val="347B2CCE"/>
    <w:rsid w:val="347B4A7C"/>
    <w:rsid w:val="34A15065"/>
    <w:rsid w:val="355A28E3"/>
    <w:rsid w:val="355D31B9"/>
    <w:rsid w:val="364041CF"/>
    <w:rsid w:val="36835E6A"/>
    <w:rsid w:val="37503F9E"/>
    <w:rsid w:val="37781747"/>
    <w:rsid w:val="37CB5D1A"/>
    <w:rsid w:val="37F232A7"/>
    <w:rsid w:val="39B50A30"/>
    <w:rsid w:val="3A240899"/>
    <w:rsid w:val="3B4F3386"/>
    <w:rsid w:val="3B6025B6"/>
    <w:rsid w:val="3CD5628A"/>
    <w:rsid w:val="3DB01C3A"/>
    <w:rsid w:val="3DBD4357"/>
    <w:rsid w:val="3E111FAD"/>
    <w:rsid w:val="3E636CAD"/>
    <w:rsid w:val="3EB47508"/>
    <w:rsid w:val="3EC51715"/>
    <w:rsid w:val="401F30A7"/>
    <w:rsid w:val="4105229D"/>
    <w:rsid w:val="41574443"/>
    <w:rsid w:val="41A82C28"/>
    <w:rsid w:val="41B65345"/>
    <w:rsid w:val="42276243"/>
    <w:rsid w:val="426A072B"/>
    <w:rsid w:val="430F11B1"/>
    <w:rsid w:val="43886603"/>
    <w:rsid w:val="43B104BA"/>
    <w:rsid w:val="440E76BA"/>
    <w:rsid w:val="443D1D4E"/>
    <w:rsid w:val="444E5D09"/>
    <w:rsid w:val="45667082"/>
    <w:rsid w:val="4625473E"/>
    <w:rsid w:val="4657260A"/>
    <w:rsid w:val="47013507"/>
    <w:rsid w:val="474B6530"/>
    <w:rsid w:val="475E48C8"/>
    <w:rsid w:val="477E6905"/>
    <w:rsid w:val="48164D90"/>
    <w:rsid w:val="482F7BFF"/>
    <w:rsid w:val="485A1120"/>
    <w:rsid w:val="486E585B"/>
    <w:rsid w:val="487B1097"/>
    <w:rsid w:val="49064E04"/>
    <w:rsid w:val="49470F79"/>
    <w:rsid w:val="4A7B712C"/>
    <w:rsid w:val="4AB71B61"/>
    <w:rsid w:val="4B02784D"/>
    <w:rsid w:val="4C2973D6"/>
    <w:rsid w:val="4C725314"/>
    <w:rsid w:val="4CB330CE"/>
    <w:rsid w:val="4DE80860"/>
    <w:rsid w:val="4E2A3343"/>
    <w:rsid w:val="4E8B1908"/>
    <w:rsid w:val="4F1F09CE"/>
    <w:rsid w:val="4FB629B4"/>
    <w:rsid w:val="4FCD667C"/>
    <w:rsid w:val="4FEB4D54"/>
    <w:rsid w:val="50224539"/>
    <w:rsid w:val="51002139"/>
    <w:rsid w:val="51A46F68"/>
    <w:rsid w:val="51C63383"/>
    <w:rsid w:val="51D51818"/>
    <w:rsid w:val="530A3743"/>
    <w:rsid w:val="54C61594"/>
    <w:rsid w:val="55A25EB5"/>
    <w:rsid w:val="560A5808"/>
    <w:rsid w:val="56836010"/>
    <w:rsid w:val="57DB3900"/>
    <w:rsid w:val="58A41F44"/>
    <w:rsid w:val="58BE1257"/>
    <w:rsid w:val="59121C7B"/>
    <w:rsid w:val="59594ADC"/>
    <w:rsid w:val="5A1B4488"/>
    <w:rsid w:val="5A715E56"/>
    <w:rsid w:val="5A84202D"/>
    <w:rsid w:val="5AB04BD0"/>
    <w:rsid w:val="5C531CB7"/>
    <w:rsid w:val="5C6A1E49"/>
    <w:rsid w:val="5CA16EC6"/>
    <w:rsid w:val="5CE40B61"/>
    <w:rsid w:val="5D2700D3"/>
    <w:rsid w:val="5D4D4958"/>
    <w:rsid w:val="5DA30A1C"/>
    <w:rsid w:val="5DC664B8"/>
    <w:rsid w:val="5E5B30A5"/>
    <w:rsid w:val="5F8E1258"/>
    <w:rsid w:val="5FE86BBA"/>
    <w:rsid w:val="60E94998"/>
    <w:rsid w:val="61112140"/>
    <w:rsid w:val="614C594E"/>
    <w:rsid w:val="61B256D1"/>
    <w:rsid w:val="62312A9A"/>
    <w:rsid w:val="626F35C2"/>
    <w:rsid w:val="62FD0BCE"/>
    <w:rsid w:val="632C3261"/>
    <w:rsid w:val="632E6FDA"/>
    <w:rsid w:val="63770981"/>
    <w:rsid w:val="64202DC6"/>
    <w:rsid w:val="64872E45"/>
    <w:rsid w:val="64E77440"/>
    <w:rsid w:val="65085151"/>
    <w:rsid w:val="653A7EB8"/>
    <w:rsid w:val="65A2399D"/>
    <w:rsid w:val="65BF03BD"/>
    <w:rsid w:val="66C46FD7"/>
    <w:rsid w:val="67EC1211"/>
    <w:rsid w:val="68171BE1"/>
    <w:rsid w:val="684828EC"/>
    <w:rsid w:val="68863414"/>
    <w:rsid w:val="6942558D"/>
    <w:rsid w:val="6953779A"/>
    <w:rsid w:val="69B12712"/>
    <w:rsid w:val="69EE07EF"/>
    <w:rsid w:val="6A3A2708"/>
    <w:rsid w:val="6A727899"/>
    <w:rsid w:val="6A95793E"/>
    <w:rsid w:val="6A9F256B"/>
    <w:rsid w:val="6B040620"/>
    <w:rsid w:val="6BD821D8"/>
    <w:rsid w:val="6BF407AD"/>
    <w:rsid w:val="6C443111"/>
    <w:rsid w:val="6C975BF0"/>
    <w:rsid w:val="6CDA788A"/>
    <w:rsid w:val="6CF831F7"/>
    <w:rsid w:val="6D08089B"/>
    <w:rsid w:val="6D7C6B93"/>
    <w:rsid w:val="6DA87988"/>
    <w:rsid w:val="6DD47201"/>
    <w:rsid w:val="6EA25F07"/>
    <w:rsid w:val="6EA36ACE"/>
    <w:rsid w:val="6ED21161"/>
    <w:rsid w:val="6F3239AE"/>
    <w:rsid w:val="6F675D4D"/>
    <w:rsid w:val="6FE54EC4"/>
    <w:rsid w:val="706C417E"/>
    <w:rsid w:val="709C1A26"/>
    <w:rsid w:val="71257C6E"/>
    <w:rsid w:val="718A5D23"/>
    <w:rsid w:val="718D76AF"/>
    <w:rsid w:val="72976FC9"/>
    <w:rsid w:val="72EE470A"/>
    <w:rsid w:val="73357F10"/>
    <w:rsid w:val="74654825"/>
    <w:rsid w:val="74DD75B7"/>
    <w:rsid w:val="753D30AC"/>
    <w:rsid w:val="75D94B83"/>
    <w:rsid w:val="76CE66B2"/>
    <w:rsid w:val="76DF08BF"/>
    <w:rsid w:val="7719338D"/>
    <w:rsid w:val="77596725"/>
    <w:rsid w:val="77AA41E1"/>
    <w:rsid w:val="78F85024"/>
    <w:rsid w:val="79020895"/>
    <w:rsid w:val="79556C16"/>
    <w:rsid w:val="796055BB"/>
    <w:rsid w:val="7A635363"/>
    <w:rsid w:val="7A6608EF"/>
    <w:rsid w:val="7BE44282"/>
    <w:rsid w:val="7C2B3C5E"/>
    <w:rsid w:val="7C32323F"/>
    <w:rsid w:val="7C945CA8"/>
    <w:rsid w:val="7CCC3693"/>
    <w:rsid w:val="7D11554A"/>
    <w:rsid w:val="7D1E37C3"/>
    <w:rsid w:val="7E357016"/>
    <w:rsid w:val="7F3379FA"/>
    <w:rsid w:val="7F462C57"/>
    <w:rsid w:val="7F4944A6"/>
    <w:rsid w:val="7F52503B"/>
    <w:rsid w:val="7F7D6EC7"/>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qFormat/>
    <w:uiPriority w:val="0"/>
    <w:pPr>
      <w:keepNext/>
      <w:keepLines/>
      <w:adjustRightInd w:val="0"/>
      <w:snapToGrid w:val="0"/>
      <w:spacing w:line="300" w:lineRule="auto"/>
      <w:outlineLvl w:val="0"/>
    </w:pPr>
    <w:rPr>
      <w:rFonts w:ascii="宋体" w:cs="宋体"/>
      <w:kern w:val="44"/>
      <w:sz w:val="24"/>
    </w:rPr>
  </w:style>
  <w:style w:type="paragraph" w:styleId="3">
    <w:name w:val="heading 2"/>
    <w:basedOn w:val="1"/>
    <w:next w:val="1"/>
    <w:unhideWhenUsed/>
    <w:qFormat/>
    <w:uiPriority w:val="9"/>
    <w:pPr>
      <w:keepNext/>
      <w:keepLines/>
      <w:ind w:firstLine="0" w:firstLineChars="0"/>
      <w:outlineLvl w:val="1"/>
    </w:pPr>
    <w:rPr>
      <w:rFonts w:hAnsi="Cambria" w:cs="Times New Roman"/>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99"/>
    <w:pPr>
      <w:spacing w:before="120"/>
    </w:pPr>
    <w:rPr>
      <w:rFonts w:ascii="Arial" w:hAnsi="Arial" w:cs="Arial"/>
    </w:rPr>
  </w:style>
  <w:style w:type="paragraph" w:styleId="5">
    <w:name w:val="Body Text"/>
    <w:basedOn w:val="1"/>
    <w:qFormat/>
    <w:uiPriority w:val="1"/>
    <w:pPr>
      <w:spacing w:before="1"/>
      <w:ind w:left="240"/>
    </w:pPr>
    <w:rPr>
      <w:rFonts w:ascii="宋体" w:hAnsi="宋体" w:eastAsia="宋体" w:cs="宋体"/>
      <w:sz w:val="24"/>
      <w:szCs w:val="24"/>
      <w:lang w:val="zh-CN" w:eastAsia="zh-CN" w:bidi="zh-CN"/>
    </w:rPr>
  </w:style>
  <w:style w:type="paragraph" w:styleId="6">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qFormat/>
    <w:uiPriority w:val="39"/>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标题 1 Char"/>
    <w:basedOn w:val="11"/>
    <w:link w:val="2"/>
    <w:qFormat/>
    <w:uiPriority w:val="9"/>
    <w:rPr>
      <w:rFonts w:ascii="Times New Roman" w:hAnsi="Times New Roman" w:eastAsia="宋体" w:cs="Times New Roman"/>
      <w:b/>
      <w:bCs/>
      <w:kern w:val="44"/>
      <w:sz w:val="44"/>
      <w:szCs w:val="44"/>
    </w:rPr>
  </w:style>
  <w:style w:type="character" w:customStyle="1" w:styleId="15">
    <w:name w:val="标题 1 Char1"/>
    <w:basedOn w:val="11"/>
    <w:link w:val="2"/>
    <w:qFormat/>
    <w:locked/>
    <w:uiPriority w:val="0"/>
    <w:rPr>
      <w:rFonts w:ascii="宋体" w:hAnsi="Times New Roman" w:eastAsia="宋体" w:cs="宋体"/>
      <w:kern w:val="44"/>
      <w:sz w:val="24"/>
      <w:szCs w:val="20"/>
    </w:rPr>
  </w:style>
  <w:style w:type="paragraph" w:customStyle="1" w:styleId="16">
    <w:name w:val="列出段落3"/>
    <w:basedOn w:val="1"/>
    <w:qFormat/>
    <w:uiPriority w:val="99"/>
    <w:pPr>
      <w:ind w:firstLine="420" w:firstLineChars="200"/>
    </w:p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Table Paragraph"/>
    <w:basedOn w:val="1"/>
    <w:qFormat/>
    <w:uiPriority w:val="1"/>
    <w:pPr>
      <w:spacing w:before="201"/>
      <w:ind w:left="107"/>
    </w:pPr>
    <w:rPr>
      <w:rFonts w:ascii="宋体" w:hAnsi="宋体" w:eastAsia="宋体" w:cs="宋体"/>
      <w:lang w:val="zh-CN" w:eastAsia="zh-CN" w:bidi="zh-CN"/>
    </w:rPr>
  </w:style>
  <w:style w:type="paragraph" w:styleId="19">
    <w:name w:val="List Paragraph"/>
    <w:basedOn w:val="1"/>
    <w:qFormat/>
    <w:uiPriority w:val="1"/>
    <w:pPr>
      <w:spacing w:before="1"/>
      <w:ind w:left="2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1089</Words>
  <Characters>1154</Characters>
  <Lines>6</Lines>
  <Paragraphs>1</Paragraphs>
  <TotalTime>3</TotalTime>
  <ScaleCrop>false</ScaleCrop>
  <LinksUpToDate>false</LinksUpToDate>
  <CharactersWithSpaces>1175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2017-07-02T01:11:00Z</dcterms:created>
  <dc:creator>微软用户</dc:creator>
  <cp:lastModifiedBy>秦邦学</cp:lastModifiedBy>
  <cp:lastPrinted>2024-12-28T12:05:45Z</cp:lastPrinted>
  <dcterms:modified xsi:type="dcterms:W3CDTF">2024-12-28T12:06:03Z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95EE1470CE034EA8A4E622A3057E7EA9</vt:lpwstr>
  </property>
</Properties>
</file>