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6"/>
          <w:szCs w:val="21"/>
        </w:rPr>
      </w:pPr>
      <w:r>
        <w:rPr>
          <w:rFonts w:hint="eastAsia" w:ascii="宋体" w:hAnsi="宋体"/>
          <w:b/>
          <w:sz w:val="36"/>
          <w:szCs w:val="21"/>
        </w:rPr>
        <w:t>会  议  纪  要</w:t>
      </w:r>
    </w:p>
    <w:p>
      <w:pPr>
        <w:ind w:firstLine="376" w:firstLineChars="200"/>
        <w:jc w:val="left"/>
        <w:rPr>
          <w:rFonts w:hint="eastAsia" w:ascii="宋体" w:hAnsi="宋体" w:cs="Times New Roman"/>
          <w:spacing w:val="-28"/>
          <w:lang w:val="en-US" w:eastAsia="zh-CN"/>
        </w:rPr>
      </w:pPr>
      <w:r>
        <w:rPr>
          <w:rFonts w:hint="eastAsia" w:ascii="宋体" w:hAnsi="宋体" w:eastAsia="宋体" w:cs="Times New Roman"/>
          <w:b w:val="0"/>
          <w:bCs w:val="0"/>
          <w:spacing w:val="-11"/>
          <w:kern w:val="2"/>
          <w:sz w:val="21"/>
          <w:szCs w:val="21"/>
          <w:lang w:val="en-US" w:eastAsia="zh-CN" w:bidi="ar-SA"/>
        </w:rPr>
        <w:t>工程名称：高邮市鑫辰新能源有限公司汤庄镇</w:t>
      </w:r>
      <w:r>
        <w:rPr>
          <w:rFonts w:hint="eastAsia" w:ascii="宋体" w:hAnsi="宋体" w:cs="Times New Roman"/>
          <w:b w:val="0"/>
          <w:bCs w:val="0"/>
          <w:spacing w:val="-11"/>
          <w:kern w:val="2"/>
          <w:sz w:val="21"/>
          <w:szCs w:val="21"/>
          <w:lang w:val="en-US" w:eastAsia="zh-CN" w:bidi="ar-SA"/>
        </w:rPr>
        <w:t>78</w:t>
      </w:r>
      <w:r>
        <w:rPr>
          <w:rFonts w:hint="eastAsia" w:ascii="宋体" w:hAnsi="宋体" w:eastAsia="宋体" w:cs="Times New Roman"/>
          <w:b w:val="0"/>
          <w:bCs w:val="0"/>
          <w:spacing w:val="-11"/>
          <w:kern w:val="2"/>
          <w:sz w:val="21"/>
          <w:szCs w:val="21"/>
          <w:lang w:val="en-US" w:eastAsia="zh-CN" w:bidi="ar-SA"/>
        </w:rPr>
        <w:t>MW渔光互补光伏发电项目</w:t>
      </w:r>
      <w:r>
        <w:rPr>
          <w:rFonts w:hint="eastAsia" w:ascii="宋体" w:hAnsi="宋体" w:cs="Times New Roman"/>
          <w:b w:val="0"/>
          <w:bCs w:val="0"/>
          <w:spacing w:val="-11"/>
          <w:kern w:val="2"/>
          <w:sz w:val="22"/>
          <w:szCs w:val="22"/>
          <w:lang w:val="en-US" w:eastAsia="zh-CN" w:bidi="ar-SA"/>
        </w:rPr>
        <w:t xml:space="preserve"> </w:t>
      </w:r>
      <w:r>
        <w:rPr>
          <w:rFonts w:hint="eastAsia" w:ascii="宋体" w:hAnsi="宋体" w:cs="Times New Roman"/>
          <w:b w:val="0"/>
          <w:bCs w:val="0"/>
          <w:spacing w:val="-17"/>
          <w:kern w:val="2"/>
          <w:sz w:val="22"/>
          <w:szCs w:val="22"/>
          <w:lang w:val="en-US" w:eastAsia="zh-CN" w:bidi="ar-SA"/>
        </w:rPr>
        <w:t xml:space="preserve">     </w:t>
      </w:r>
      <w:r>
        <w:rPr>
          <w:rFonts w:hint="eastAsia" w:ascii="宋体" w:hAnsi="宋体" w:cs="Times New Roman"/>
          <w:spacing w:val="-17"/>
          <w:sz w:val="21"/>
          <w:lang w:val="en-US" w:eastAsia="zh-CN"/>
        </w:rPr>
        <w:t>编号：TZ-SAJL</w:t>
      </w:r>
      <w:r>
        <w:rPr>
          <w:rFonts w:hint="eastAsia" w:ascii="宋体" w:hAnsi="宋体" w:cs="Times New Roman"/>
          <w:spacing w:val="-17"/>
          <w:sz w:val="21"/>
        </w:rPr>
        <w:t>-LH-</w:t>
      </w:r>
      <w:r>
        <w:rPr>
          <w:rFonts w:hint="eastAsia" w:ascii="宋体" w:hAnsi="宋体" w:cs="Times New Roman"/>
          <w:spacing w:val="-17"/>
          <w:sz w:val="21"/>
          <w:lang w:val="en-US" w:eastAsia="zh-CN"/>
        </w:rPr>
        <w:t>2024-11-</w:t>
      </w:r>
      <w:r>
        <w:rPr>
          <w:rFonts w:hint="eastAsia" w:ascii="宋体" w:hAnsi="宋体" w:cs="Times New Roman"/>
          <w:spacing w:val="-17"/>
          <w:sz w:val="21"/>
        </w:rPr>
        <w:t>0</w:t>
      </w:r>
      <w:r>
        <w:rPr>
          <w:rFonts w:hint="eastAsia" w:ascii="宋体" w:hAnsi="宋体" w:cs="Times New Roman"/>
          <w:spacing w:val="-17"/>
          <w:sz w:val="21"/>
          <w:lang w:val="en-US" w:eastAsia="zh-CN"/>
        </w:rPr>
        <w:t xml:space="preserve">02  </w:t>
      </w:r>
      <w:r>
        <w:rPr>
          <w:rFonts w:hint="eastAsia" w:ascii="宋体" w:hAnsi="宋体" w:cs="Times New Roman"/>
          <w:spacing w:val="-17"/>
          <w:lang w:val="en-US" w:eastAsia="zh-CN"/>
        </w:rPr>
        <w:t xml:space="preserve"> </w:t>
      </w:r>
      <w:r>
        <w:rPr>
          <w:rFonts w:hint="eastAsia" w:ascii="宋体" w:hAnsi="宋体" w:cs="Times New Roman"/>
          <w:spacing w:val="-28"/>
          <w:lang w:val="en-US" w:eastAsia="zh-CN"/>
        </w:rPr>
        <w:t xml:space="preserve">   </w:t>
      </w:r>
    </w:p>
    <w:p>
      <w:pPr>
        <w:ind w:firstLine="7140" w:firstLineChars="3400"/>
        <w:jc w:val="left"/>
        <w:rPr>
          <w:rFonts w:hint="default" w:ascii="宋体" w:hAnsi="宋体" w:eastAsia="宋体" w:cs="Times New Roman"/>
          <w:lang w:val="en-US" w:eastAsia="zh-CN"/>
        </w:rPr>
      </w:pPr>
      <w:r>
        <w:rPr>
          <w:rFonts w:hint="eastAsia" w:ascii="宋体" w:hAnsi="宋体" w:cs="Times New Roman"/>
        </w:rPr>
        <w:t>签发：</w:t>
      </w:r>
      <w:r>
        <w:rPr>
          <w:rFonts w:hint="eastAsia" w:ascii="宋体" w:hAnsi="宋体" w:cs="Times New Roman"/>
          <w:lang w:val="en-US" w:eastAsia="zh-CN"/>
        </w:rPr>
        <w:t xml:space="preserve">  </w:t>
      </w:r>
    </w:p>
    <w:tbl>
      <w:tblPr>
        <w:tblStyle w:val="8"/>
        <w:tblW w:w="9879" w:type="dxa"/>
        <w:tblInd w:w="6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
      <w:tblGrid>
        <w:gridCol w:w="1650"/>
        <w:gridCol w:w="778"/>
        <w:gridCol w:w="2526"/>
        <w:gridCol w:w="817"/>
        <w:gridCol w:w="1044"/>
        <w:gridCol w:w="526"/>
        <w:gridCol w:w="25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554" w:hRule="atLeast"/>
        </w:trPr>
        <w:tc>
          <w:tcPr>
            <w:tcW w:w="2428" w:type="dxa"/>
            <w:gridSpan w:val="2"/>
            <w:tcBorders>
              <w:top w:val="single" w:color="auto" w:sz="8" w:space="0"/>
              <w:left w:val="single" w:color="auto" w:sz="8" w:space="0"/>
              <w:bottom w:val="single" w:color="auto" w:sz="4" w:space="0"/>
              <w:right w:val="single" w:color="auto" w:sz="4" w:space="0"/>
            </w:tcBorders>
            <w:vAlign w:val="center"/>
          </w:tcPr>
          <w:p>
            <w:pPr>
              <w:topLinePunct/>
              <w:jc w:val="center"/>
              <w:rPr>
                <w:rFonts w:ascii="宋体" w:hAnsi="宋体"/>
                <w:sz w:val="24"/>
                <w:szCs w:val="24"/>
              </w:rPr>
            </w:pPr>
            <w:r>
              <w:rPr>
                <w:rFonts w:hint="eastAsia" w:ascii="宋体" w:hAnsi="宋体"/>
                <w:sz w:val="24"/>
                <w:szCs w:val="24"/>
              </w:rPr>
              <w:t>会议地点</w:t>
            </w:r>
          </w:p>
        </w:tc>
        <w:tc>
          <w:tcPr>
            <w:tcW w:w="2526" w:type="dxa"/>
            <w:tcBorders>
              <w:top w:val="single" w:color="auto" w:sz="8" w:space="0"/>
              <w:left w:val="single" w:color="auto" w:sz="4" w:space="0"/>
              <w:bottom w:val="single" w:color="auto" w:sz="4" w:space="0"/>
              <w:right w:val="single" w:color="auto" w:sz="4" w:space="0"/>
            </w:tcBorders>
            <w:vAlign w:val="center"/>
          </w:tcPr>
          <w:p>
            <w:pPr>
              <w:topLinePunct/>
              <w:jc w:val="center"/>
              <w:rPr>
                <w:rFonts w:hint="default" w:ascii="宋体" w:hAnsi="宋体" w:eastAsia="宋体"/>
                <w:sz w:val="24"/>
                <w:szCs w:val="24"/>
                <w:lang w:val="en-US" w:eastAsia="zh-CN"/>
              </w:rPr>
            </w:pPr>
            <w:r>
              <w:rPr>
                <w:rFonts w:hint="eastAsia" w:ascii="宋体" w:hAnsi="宋体"/>
                <w:sz w:val="24"/>
                <w:szCs w:val="24"/>
                <w:lang w:val="en-US" w:eastAsia="zh-CN"/>
              </w:rPr>
              <w:t xml:space="preserve"> 总包项目部</w:t>
            </w:r>
          </w:p>
        </w:tc>
        <w:tc>
          <w:tcPr>
            <w:tcW w:w="1861" w:type="dxa"/>
            <w:gridSpan w:val="2"/>
            <w:tcBorders>
              <w:top w:val="single" w:color="auto" w:sz="8" w:space="0"/>
              <w:left w:val="single" w:color="auto" w:sz="4" w:space="0"/>
              <w:bottom w:val="single" w:color="auto" w:sz="4" w:space="0"/>
              <w:right w:val="single" w:color="auto" w:sz="4" w:space="0"/>
            </w:tcBorders>
            <w:vAlign w:val="center"/>
          </w:tcPr>
          <w:p>
            <w:pPr>
              <w:topLinePunct/>
              <w:ind w:firstLine="240" w:firstLineChars="100"/>
              <w:jc w:val="both"/>
              <w:rPr>
                <w:rFonts w:ascii="宋体" w:hAnsi="宋体"/>
                <w:sz w:val="24"/>
                <w:szCs w:val="24"/>
              </w:rPr>
            </w:pPr>
            <w:r>
              <w:rPr>
                <w:rFonts w:hint="eastAsia" w:ascii="宋体" w:hAnsi="宋体"/>
                <w:sz w:val="24"/>
                <w:szCs w:val="24"/>
              </w:rPr>
              <w:t>会议时间</w:t>
            </w:r>
          </w:p>
        </w:tc>
        <w:tc>
          <w:tcPr>
            <w:tcW w:w="3064" w:type="dxa"/>
            <w:gridSpan w:val="2"/>
            <w:tcBorders>
              <w:top w:val="single" w:color="auto" w:sz="8" w:space="0"/>
              <w:left w:val="single" w:color="auto" w:sz="4" w:space="0"/>
              <w:bottom w:val="single" w:color="auto" w:sz="4" w:space="0"/>
              <w:right w:val="single" w:color="auto" w:sz="8" w:space="0"/>
            </w:tcBorders>
            <w:vAlign w:val="center"/>
          </w:tcPr>
          <w:p>
            <w:pPr>
              <w:topLinePunct/>
              <w:jc w:val="center"/>
              <w:rPr>
                <w:rFonts w:ascii="宋体" w:hAnsi="宋体"/>
                <w:sz w:val="24"/>
                <w:szCs w:val="24"/>
              </w:rPr>
            </w:pPr>
            <w:r>
              <w:rPr>
                <w:rFonts w:hint="eastAsia" w:ascii="宋体" w:hAnsi="宋体"/>
                <w:sz w:val="24"/>
                <w:szCs w:val="24"/>
              </w:rPr>
              <w:t>20</w:t>
            </w:r>
            <w:r>
              <w:rPr>
                <w:rFonts w:hint="eastAsia" w:ascii="宋体" w:hAnsi="宋体"/>
                <w:sz w:val="24"/>
                <w:szCs w:val="24"/>
                <w:lang w:val="en-US" w:eastAsia="zh-CN"/>
              </w:rPr>
              <w:t>24</w:t>
            </w:r>
            <w:r>
              <w:rPr>
                <w:rFonts w:hint="eastAsia" w:ascii="宋体" w:hAnsi="宋体"/>
                <w:sz w:val="24"/>
                <w:szCs w:val="24"/>
              </w:rPr>
              <w:t>年</w:t>
            </w:r>
            <w:r>
              <w:rPr>
                <w:rFonts w:hint="eastAsia" w:ascii="宋体" w:hAnsi="宋体"/>
                <w:sz w:val="24"/>
                <w:szCs w:val="24"/>
                <w:lang w:val="en-US" w:eastAsia="zh-CN"/>
              </w:rPr>
              <w:t>12</w:t>
            </w:r>
            <w:r>
              <w:rPr>
                <w:rFonts w:hint="eastAsia" w:ascii="宋体" w:hAnsi="宋体"/>
                <w:sz w:val="24"/>
                <w:szCs w:val="24"/>
              </w:rPr>
              <w:t>月</w:t>
            </w:r>
            <w:r>
              <w:rPr>
                <w:rFonts w:hint="eastAsia" w:ascii="宋体" w:hAnsi="宋体"/>
                <w:sz w:val="24"/>
                <w:szCs w:val="24"/>
                <w:lang w:val="en-US" w:eastAsia="zh-CN"/>
              </w:rPr>
              <w:t>09</w:t>
            </w:r>
            <w:r>
              <w:rPr>
                <w:rFonts w:hint="eastAsia" w:ascii="宋体" w:hAnsi="宋体"/>
                <w:sz w:val="24"/>
                <w:szCs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528" w:hRule="atLeast"/>
        </w:trPr>
        <w:tc>
          <w:tcPr>
            <w:tcW w:w="2428" w:type="dxa"/>
            <w:gridSpan w:val="2"/>
            <w:tcBorders>
              <w:top w:val="single" w:color="auto" w:sz="4" w:space="0"/>
              <w:left w:val="single" w:color="auto" w:sz="8" w:space="0"/>
              <w:bottom w:val="single" w:color="auto" w:sz="4" w:space="0"/>
              <w:right w:val="single" w:color="auto" w:sz="4" w:space="0"/>
            </w:tcBorders>
            <w:vAlign w:val="center"/>
          </w:tcPr>
          <w:p>
            <w:pPr>
              <w:topLinePunct/>
              <w:jc w:val="center"/>
              <w:rPr>
                <w:rFonts w:ascii="宋体" w:hAnsi="宋体"/>
                <w:sz w:val="24"/>
                <w:szCs w:val="24"/>
              </w:rPr>
            </w:pPr>
            <w:r>
              <w:rPr>
                <w:rFonts w:hint="eastAsia" w:ascii="宋体" w:hAnsi="宋体"/>
                <w:sz w:val="24"/>
                <w:szCs w:val="24"/>
              </w:rPr>
              <w:t>会议主持人</w:t>
            </w:r>
          </w:p>
        </w:tc>
        <w:tc>
          <w:tcPr>
            <w:tcW w:w="7451" w:type="dxa"/>
            <w:gridSpan w:val="5"/>
            <w:tcBorders>
              <w:top w:val="single" w:color="auto" w:sz="4" w:space="0"/>
              <w:left w:val="single" w:color="auto" w:sz="4" w:space="0"/>
              <w:bottom w:val="single" w:color="auto" w:sz="4" w:space="0"/>
              <w:right w:val="single" w:color="auto" w:sz="8" w:space="0"/>
            </w:tcBorders>
            <w:vAlign w:val="center"/>
          </w:tcPr>
          <w:p>
            <w:pPr>
              <w:topLinePunct/>
              <w:ind w:firstLine="1920" w:firstLineChars="800"/>
              <w:jc w:val="both"/>
              <w:rPr>
                <w:rFonts w:hint="default" w:ascii="宋体" w:hAnsi="宋体" w:eastAsia="宋体"/>
                <w:sz w:val="24"/>
                <w:szCs w:val="24"/>
                <w:lang w:val="en-US" w:eastAsia="zh-CN"/>
              </w:rPr>
            </w:pPr>
            <w:r>
              <w:rPr>
                <w:rFonts w:hint="eastAsia" w:ascii="宋体" w:hAnsi="宋体"/>
                <w:sz w:val="24"/>
                <w:szCs w:val="24"/>
                <w:lang w:val="en-US" w:eastAsia="zh-CN"/>
              </w:rPr>
              <w:t>尹生铭   秦帮学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722" w:hRule="atLeast"/>
        </w:trPr>
        <w:tc>
          <w:tcPr>
            <w:tcW w:w="9879" w:type="dxa"/>
            <w:gridSpan w:val="7"/>
            <w:tcBorders>
              <w:top w:val="single" w:color="auto" w:sz="4" w:space="0"/>
              <w:left w:val="single" w:color="auto" w:sz="8" w:space="0"/>
              <w:bottom w:val="single" w:color="auto" w:sz="4" w:space="0"/>
              <w:right w:val="single" w:color="auto" w:sz="8" w:space="0"/>
            </w:tcBorders>
            <w:vAlign w:val="center"/>
          </w:tcPr>
          <w:p>
            <w:pPr>
              <w:topLinePunct/>
              <w:rPr>
                <w:rFonts w:ascii="宋体" w:hAnsi="宋体"/>
                <w:sz w:val="24"/>
                <w:szCs w:val="24"/>
              </w:rPr>
            </w:pPr>
            <w:r>
              <w:rPr>
                <w:rFonts w:hint="eastAsia" w:ascii="宋体" w:hAnsi="宋体"/>
                <w:sz w:val="24"/>
                <w:szCs w:val="24"/>
              </w:rPr>
              <w:t>会议主题：</w:t>
            </w:r>
          </w:p>
          <w:p>
            <w:pPr>
              <w:topLinePunct/>
              <w:rPr>
                <w:rFonts w:ascii="宋体" w:hAnsi="宋体"/>
                <w:sz w:val="24"/>
                <w:szCs w:val="24"/>
              </w:rPr>
            </w:pPr>
            <w:r>
              <w:rPr>
                <w:rFonts w:hint="eastAsia" w:ascii="宋体" w:hAnsi="宋体"/>
                <w:sz w:val="24"/>
                <w:szCs w:val="24"/>
              </w:rPr>
              <w:t xml:space="preserve">     现场质量、进度、安全文明及协调事宜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4321" w:hRule="atLeast"/>
        </w:trPr>
        <w:tc>
          <w:tcPr>
            <w:tcW w:w="9879" w:type="dxa"/>
            <w:gridSpan w:val="7"/>
            <w:tcBorders>
              <w:top w:val="single" w:color="auto" w:sz="4"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autoSpaceDE/>
              <w:autoSpaceDN/>
              <w:bidi w:val="0"/>
              <w:adjustRightInd/>
              <w:snapToGrid/>
              <w:spacing w:line="520" w:lineRule="exact"/>
              <w:ind w:firstLine="480" w:firstLineChars="200"/>
              <w:textAlignment w:val="auto"/>
              <w:rPr>
                <w:rFonts w:ascii="宋体" w:hAnsi="宋体"/>
                <w:sz w:val="24"/>
                <w:szCs w:val="24"/>
              </w:rPr>
            </w:pPr>
            <w:r>
              <w:rPr>
                <w:rFonts w:hint="eastAsia" w:ascii="宋体" w:hAnsi="宋体"/>
                <w:sz w:val="24"/>
                <w:szCs w:val="24"/>
              </w:rPr>
              <w:t>本次会议</w:t>
            </w:r>
            <w:r>
              <w:rPr>
                <w:rFonts w:hint="eastAsia" w:ascii="宋体" w:hAnsi="宋体"/>
                <w:sz w:val="24"/>
                <w:szCs w:val="24"/>
                <w:lang w:val="en-US" w:eastAsia="zh-CN"/>
              </w:rPr>
              <w:t>施工总包单位汇报了本周施工情况和下一步工作计划，项目管理单位和监理单位就施工中存在的问题提出要求和解决办法，</w:t>
            </w:r>
            <w:r>
              <w:rPr>
                <w:rFonts w:hint="eastAsia" w:ascii="宋体" w:hAnsi="宋体"/>
                <w:sz w:val="24"/>
                <w:szCs w:val="24"/>
              </w:rPr>
              <w:t>内容</w:t>
            </w:r>
            <w:r>
              <w:rPr>
                <w:rFonts w:hint="eastAsia" w:ascii="宋体" w:hAnsi="宋体"/>
                <w:sz w:val="24"/>
                <w:szCs w:val="24"/>
                <w:lang w:val="en-US" w:eastAsia="zh-CN"/>
              </w:rPr>
              <w:t>如下</w:t>
            </w:r>
            <w:r>
              <w:rPr>
                <w:rFonts w:hint="eastAsia" w:ascii="宋体" w:hAnsi="宋体"/>
                <w:sz w:val="24"/>
                <w:szCs w:val="24"/>
              </w:rPr>
              <w:t>：</w:t>
            </w:r>
          </w:p>
          <w:p>
            <w:pPr>
              <w:keepNext w:val="0"/>
              <w:keepLines w:val="0"/>
              <w:pageBreakBefore w:val="0"/>
              <w:widowControl w:val="0"/>
              <w:kinsoku/>
              <w:wordWrap/>
              <w:overflowPunct/>
              <w:topLinePunct/>
              <w:autoSpaceDE/>
              <w:autoSpaceDN/>
              <w:bidi w:val="0"/>
              <w:adjustRightInd/>
              <w:snapToGrid/>
              <w:spacing w:line="520" w:lineRule="exact"/>
              <w:ind w:firstLine="240" w:firstLineChars="100"/>
              <w:textAlignment w:val="auto"/>
              <w:rPr>
                <w:rFonts w:ascii="宋体" w:hAnsi="宋体"/>
                <w:sz w:val="24"/>
                <w:szCs w:val="24"/>
              </w:rPr>
            </w:pPr>
            <w:r>
              <w:rPr>
                <w:rFonts w:hint="eastAsia" w:ascii="宋体" w:hAnsi="宋体"/>
                <w:sz w:val="24"/>
                <w:szCs w:val="24"/>
                <w:lang w:val="en-US" w:eastAsia="zh-CN"/>
              </w:rPr>
              <w:t>总包</w:t>
            </w:r>
            <w:r>
              <w:rPr>
                <w:rFonts w:hint="eastAsia" w:ascii="宋体" w:hAnsi="宋体"/>
                <w:sz w:val="24"/>
                <w:szCs w:val="24"/>
              </w:rPr>
              <w:t>单位：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58" w:leftChars="342" w:hanging="240" w:hangingChars="10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一、上周会议督办事项：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58" w:leftChars="342" w:hanging="240" w:hangingChars="100"/>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施工蓝图：已出让塘部分盖章版蓝图，并由设计现场交底；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58" w:leftChars="342" w:hanging="240" w:hangingChars="100"/>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管桩到货部分不合格：针对部分不合格管桩督促厂家退货处理并要求加强工艺把控和出厂品控、针对现场卸货安全隐患督促运输和卸货负责人及时整改；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58" w:leftChars="342" w:hanging="240" w:hangingChars="100"/>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合同对应工程量清单：已完成；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58" w:leftChars="342" w:hanging="240" w:hangingChars="10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一切险和意外险：一切险对接保险公司中，意外险现场施工人员均已全购买。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58" w:leftChars="342" w:hanging="240" w:hangingChars="100"/>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春节前的计划：让塘统计中，计划相应编制中；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58" w:leftChars="342" w:hanging="240" w:hangingChars="100"/>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工程资料梳理：已建立项目资料台账，与项目进展同步；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58" w:leftChars="342" w:hanging="240" w:hangingChars="10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汤庄项目：三项目合计本周打桩1421根，共计完成7974根。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58" w:leftChars="342" w:hanging="240" w:hangingChars="10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①汤庄78MW 31号地块、32号地块打桩作业本周完成523根，共计完成3718根；31号地块、40号地块、14号地块、15号地块、16号地块、11号地块、7号地块支架基础桩完成。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58" w:leftChars="342" w:hanging="240" w:hangingChars="10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②汤庄70MW 12号地块打桩作业，本周完成651根,共计完成2644根,11号地块支架基础桩完成。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58" w:leftChars="342" w:hanging="240" w:hangingChars="100"/>
              <w:textAlignment w:val="auto"/>
              <w:rPr>
                <w:rFonts w:hint="eastAsia" w:ascii="宋体" w:hAnsi="宋体"/>
                <w:sz w:val="24"/>
                <w:szCs w:val="24"/>
                <w:lang w:val="en-US" w:eastAsia="zh-CN"/>
              </w:rPr>
            </w:pPr>
            <w:r>
              <w:rPr>
                <w:rFonts w:hint="eastAsia" w:ascii="宋体" w:hAnsi="宋体" w:cs="Times New Roman"/>
                <w:sz w:val="24"/>
                <w:szCs w:val="24"/>
                <w:lang w:val="en-US" w:eastAsia="zh-CN"/>
              </w:rPr>
              <w:t>③汤庄61MW 15号地块打桩247根，共计完成1612根,15号地块支架基础桩完成。</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240" w:firstLineChars="100"/>
              <w:textAlignment w:val="auto"/>
              <w:rPr>
                <w:rFonts w:hint="eastAsia" w:ascii="宋体" w:hAnsi="宋体"/>
                <w:sz w:val="24"/>
                <w:szCs w:val="24"/>
                <w:lang w:val="en-US" w:eastAsia="zh-CN"/>
              </w:rPr>
            </w:pPr>
            <w:r>
              <w:rPr>
                <w:rFonts w:hint="eastAsia" w:ascii="宋体" w:hAnsi="宋体"/>
                <w:sz w:val="24"/>
                <w:szCs w:val="24"/>
                <w:lang w:val="en-US" w:eastAsia="zh-CN"/>
              </w:rPr>
              <w:t>监理单位：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720" w:firstLineChars="300"/>
              <w:textAlignment w:val="auto"/>
              <w:rPr>
                <w:rFonts w:hint="default" w:ascii="宋体" w:hAnsi="宋体"/>
                <w:sz w:val="24"/>
                <w:szCs w:val="24"/>
                <w:lang w:val="en-US" w:eastAsia="zh-CN"/>
              </w:rPr>
            </w:pPr>
            <w:r>
              <w:rPr>
                <w:rFonts w:hint="eastAsia" w:ascii="宋体" w:hAnsi="宋体"/>
                <w:sz w:val="24"/>
                <w:szCs w:val="24"/>
                <w:lang w:val="en-US" w:eastAsia="zh-CN"/>
              </w:rPr>
              <w:t>一）施工情况</w:t>
            </w:r>
          </w:p>
          <w:p>
            <w:pPr>
              <w:keepNext w:val="0"/>
              <w:keepLines w:val="0"/>
              <w:pageBreakBefore w:val="0"/>
              <w:widowControl w:val="0"/>
              <w:kinsoku/>
              <w:wordWrap/>
              <w:overflowPunct/>
              <w:topLinePunct/>
              <w:autoSpaceDE/>
              <w:autoSpaceDN/>
              <w:bidi w:val="0"/>
              <w:adjustRightInd/>
              <w:snapToGrid/>
              <w:spacing w:line="520" w:lineRule="exact"/>
              <w:ind w:firstLine="720" w:firstLineChars="30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本周78MW区域打桩523根，每天打桩约75根，本区域7号、11号、16号地块、40号地（并塘），15号地、14号地、31号地已打桩完成，共7个塘口打桩完成，现32号地、22号块正打桩中；70MW区域前期11号、5-1处2个塘口打桩完成后，本周12号打桩651根， 每天打桩约93根，其中本区域6号地上11月13号进桩后停工至今；本周61MW区域15号塘    口打桩444根，此塘口打桩完成，其中有3天没有打桩；汤庄项目本周3个区域打桩1618根</w:t>
            </w:r>
          </w:p>
          <w:p>
            <w:pPr>
              <w:keepNext w:val="0"/>
              <w:keepLines w:val="0"/>
              <w:pageBreakBefore w:val="0"/>
              <w:widowControl w:val="0"/>
              <w:kinsoku/>
              <w:wordWrap/>
              <w:overflowPunct/>
              <w:topLinePunct/>
              <w:autoSpaceDE/>
              <w:autoSpaceDN/>
              <w:bidi w:val="0"/>
              <w:adjustRightInd/>
              <w:snapToGrid/>
              <w:spacing w:line="520" w:lineRule="exact"/>
              <w:ind w:left="479" w:leftChars="228" w:firstLine="0" w:firstLineChars="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2、周质量方面：监理人员对塘口进桩进行检查，对不符合要求的管桩进行退场处理，对新塘口打桩确认的标高进行复核，抽查了各区打桩的垂直度、平行度，安全方面对卸桩现场监理人员进行安全旁站，，本周发出联系单1份，组织参加周安全检查，检查参与了各区域站班会，资料方面：参加了建卫尹总组织的资料整理确定会；</w:t>
            </w:r>
          </w:p>
          <w:p>
            <w:pPr>
              <w:keepNext w:val="0"/>
              <w:keepLines w:val="0"/>
              <w:pageBreakBefore w:val="0"/>
              <w:widowControl w:val="0"/>
              <w:kinsoku/>
              <w:wordWrap/>
              <w:overflowPunct/>
              <w:topLinePunct/>
              <w:autoSpaceDE/>
              <w:autoSpaceDN/>
              <w:bidi w:val="0"/>
              <w:adjustRightInd/>
              <w:snapToGrid/>
              <w:spacing w:line="520" w:lineRule="exact"/>
              <w:ind w:firstLine="480" w:firstLineChars="20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3、本周12月6号收到总包分发的各区部分桩位布置蓝图；</w:t>
            </w:r>
          </w:p>
          <w:p>
            <w:pPr>
              <w:keepNext w:val="0"/>
              <w:keepLines w:val="0"/>
              <w:pageBreakBefore w:val="0"/>
              <w:widowControl w:val="0"/>
              <w:kinsoku/>
              <w:wordWrap/>
              <w:overflowPunct/>
              <w:topLinePunct/>
              <w:autoSpaceDE/>
              <w:autoSpaceDN/>
              <w:bidi w:val="0"/>
              <w:adjustRightInd/>
              <w:snapToGrid/>
              <w:spacing w:line="520" w:lineRule="exact"/>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 xml:space="preserve"> 二）项目施工存在问题和要求</w:t>
            </w:r>
          </w:p>
          <w:p>
            <w:pPr>
              <w:keepNext w:val="0"/>
              <w:keepLines w:val="0"/>
              <w:pageBreakBefore w:val="0"/>
              <w:widowControl w:val="0"/>
              <w:kinsoku/>
              <w:wordWrap/>
              <w:overflowPunct/>
              <w:topLinePunct/>
              <w:autoSpaceDE/>
              <w:autoSpaceDN/>
              <w:bidi w:val="0"/>
              <w:adjustRightInd/>
              <w:snapToGrid/>
              <w:spacing w:line="520" w:lineRule="exact"/>
              <w:ind w:left="719" w:leftChars="228" w:hanging="240" w:hangingChars="100"/>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1、各塘口所进管桩经检查，不合格率有所降低，可能抢进度原因，部分管桩存在保养期不够情况，已反馈给总包，抢进度同时，质量必须要有保障；</w:t>
            </w:r>
          </w:p>
          <w:p>
            <w:pPr>
              <w:keepNext w:val="0"/>
              <w:keepLines w:val="0"/>
              <w:pageBreakBefore w:val="0"/>
              <w:widowControl w:val="0"/>
              <w:kinsoku/>
              <w:wordWrap/>
              <w:overflowPunct/>
              <w:topLinePunct/>
              <w:autoSpaceDE/>
              <w:autoSpaceDN/>
              <w:bidi w:val="0"/>
              <w:adjustRightInd/>
              <w:snapToGrid/>
              <w:spacing w:line="520" w:lineRule="exact"/>
              <w:ind w:firstLine="480" w:firstLineChars="20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2、本周收到部分桩位布置蓝图，没有设计说明，设计深度不够；</w:t>
            </w:r>
          </w:p>
          <w:p>
            <w:pPr>
              <w:keepNext w:val="0"/>
              <w:keepLines w:val="0"/>
              <w:pageBreakBefore w:val="0"/>
              <w:widowControl w:val="0"/>
              <w:kinsoku/>
              <w:wordWrap/>
              <w:overflowPunct/>
              <w:topLinePunct/>
              <w:autoSpaceDE/>
              <w:autoSpaceDN/>
              <w:bidi w:val="0"/>
              <w:adjustRightInd/>
              <w:snapToGrid/>
              <w:spacing w:line="520" w:lineRule="exact"/>
              <w:ind w:left="719" w:leftChars="228" w:hanging="240" w:hangingChars="10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3、少部分塘口已打管桩存在头重脚轻情况，总包项目部要重视起来，你方要和设计沟通交流后评估这部分已打管桩的安全性、可靠性；</w:t>
            </w:r>
          </w:p>
          <w:p>
            <w:pPr>
              <w:keepNext w:val="0"/>
              <w:keepLines w:val="0"/>
              <w:pageBreakBefore w:val="0"/>
              <w:widowControl w:val="0"/>
              <w:kinsoku/>
              <w:wordWrap/>
              <w:overflowPunct/>
              <w:topLinePunct/>
              <w:autoSpaceDE/>
              <w:autoSpaceDN/>
              <w:bidi w:val="0"/>
              <w:adjustRightInd/>
              <w:snapToGrid/>
              <w:spacing w:line="520" w:lineRule="exact"/>
              <w:ind w:left="719" w:leftChars="228" w:hanging="240" w:hangingChars="100"/>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 xml:space="preserve">4、打桩过程中，当标高一定，打入淤泥处的管桩是否打到持力层，分析了一下，这就要看地勘是不是详勘了，目前我们了解的70MW区域11#塘存在这样情况，类似这种情况是否存在，总包要组织技术人员排查，做出风险评估；    </w:t>
            </w:r>
          </w:p>
          <w:p>
            <w:pPr>
              <w:keepNext w:val="0"/>
              <w:keepLines w:val="0"/>
              <w:pageBreakBefore w:val="0"/>
              <w:widowControl w:val="0"/>
              <w:kinsoku/>
              <w:wordWrap/>
              <w:overflowPunct/>
              <w:topLinePunct/>
              <w:autoSpaceDE/>
              <w:autoSpaceDN/>
              <w:bidi w:val="0"/>
              <w:adjustRightInd/>
              <w:snapToGrid/>
              <w:spacing w:line="520" w:lineRule="exact"/>
              <w:ind w:left="719" w:leftChars="228" w:hanging="240" w:hangingChars="10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5、本周安全工作有起色，安全标志、警戒带、彩旗做了布置，但区域牌做的不是永久布置牌；</w:t>
            </w:r>
          </w:p>
          <w:p>
            <w:pPr>
              <w:keepNext w:val="0"/>
              <w:keepLines w:val="0"/>
              <w:pageBreakBefore w:val="0"/>
              <w:widowControl w:val="0"/>
              <w:kinsoku/>
              <w:wordWrap/>
              <w:overflowPunct/>
              <w:topLinePunct/>
              <w:autoSpaceDE/>
              <w:autoSpaceDN/>
              <w:bidi w:val="0"/>
              <w:adjustRightInd/>
              <w:snapToGrid/>
              <w:spacing w:line="520" w:lineRule="exact"/>
              <w:ind w:left="719" w:leftChars="228" w:hanging="240" w:hangingChars="10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6、前日，总包说到了对已打塘口管桩验收事宜，这里要加以说明，塘口管桩验收须是建立在三级自检基础上自检合格，报审后，监理认为具备条件准予验收再通知组织验收，报审资料里其中就有重要的检测报告；</w:t>
            </w:r>
          </w:p>
          <w:p>
            <w:pPr>
              <w:keepNext w:val="0"/>
              <w:keepLines w:val="0"/>
              <w:pageBreakBefore w:val="0"/>
              <w:widowControl w:val="0"/>
              <w:kinsoku/>
              <w:wordWrap/>
              <w:overflowPunct/>
              <w:topLinePunct/>
              <w:autoSpaceDE/>
              <w:autoSpaceDN/>
              <w:bidi w:val="0"/>
              <w:adjustRightInd/>
              <w:snapToGrid/>
              <w:spacing w:line="520" w:lineRule="exact"/>
              <w:ind w:firstLine="480" w:firstLineChars="200"/>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7、资料问题5号会议确定的12月20前完成资料同步时间点，我方也因此发了联系单；</w:t>
            </w:r>
          </w:p>
          <w:p>
            <w:pPr>
              <w:keepNext w:val="0"/>
              <w:keepLines w:val="0"/>
              <w:pageBreakBefore w:val="0"/>
              <w:widowControl w:val="0"/>
              <w:kinsoku/>
              <w:wordWrap/>
              <w:overflowPunct/>
              <w:topLinePunct/>
              <w:autoSpaceDE/>
              <w:autoSpaceDN/>
              <w:bidi w:val="0"/>
              <w:adjustRightInd/>
              <w:snapToGrid/>
              <w:spacing w:line="520" w:lineRule="exact"/>
              <w:ind w:firstLine="480" w:firstLineChars="200"/>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8、总包对监理发出的通知单回复不够及时，如不改正将进行考核处理；</w:t>
            </w:r>
          </w:p>
          <w:p>
            <w:pPr>
              <w:keepNext w:val="0"/>
              <w:keepLines w:val="0"/>
              <w:pageBreakBefore w:val="0"/>
              <w:widowControl w:val="0"/>
              <w:kinsoku/>
              <w:wordWrap/>
              <w:overflowPunct/>
              <w:topLinePunct/>
              <w:autoSpaceDE/>
              <w:autoSpaceDN/>
              <w:bidi w:val="0"/>
              <w:adjustRightInd/>
              <w:snapToGrid/>
              <w:spacing w:line="520" w:lineRule="exact"/>
              <w:ind w:firstLine="480" w:firstLineChars="200"/>
              <w:textAlignment w:val="auto"/>
              <w:rPr>
                <w:rFonts w:hint="default"/>
                <w:lang w:val="en-US" w:eastAsia="zh-CN"/>
              </w:rPr>
            </w:pPr>
            <w:r>
              <w:rPr>
                <w:rFonts w:hint="eastAsia" w:ascii="宋体" w:hAnsi="宋体" w:cs="Times New Roman"/>
                <w:sz w:val="24"/>
                <w:szCs w:val="24"/>
                <w:lang w:val="en-US" w:eastAsia="zh-CN"/>
              </w:rPr>
              <w:t>9、本项目的考核办法如无特殊说明，监理将继续执行；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720" w:firstLineChars="300"/>
              <w:textAlignment w:val="auto"/>
              <w:rPr>
                <w:rFonts w:hint="eastAsia" w:ascii="宋体" w:hAnsi="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720" w:firstLineChars="300"/>
              <w:textAlignment w:val="auto"/>
              <w:rPr>
                <w:rFonts w:hint="eastAsia"/>
                <w:lang w:val="en-US" w:eastAsia="zh-CN"/>
              </w:rPr>
            </w:pPr>
            <w:r>
              <w:rPr>
                <w:rFonts w:hint="eastAsia" w:ascii="宋体" w:hAnsi="宋体"/>
                <w:sz w:val="24"/>
                <w:szCs w:val="24"/>
                <w:lang w:val="en-US" w:eastAsia="zh-CN"/>
              </w:rPr>
              <w:t>三、建卫管理单位：</w:t>
            </w:r>
          </w:p>
          <w:p>
            <w:pPr>
              <w:keepNext w:val="0"/>
              <w:keepLines w:val="0"/>
              <w:pageBreakBefore w:val="0"/>
              <w:widowControl w:val="0"/>
              <w:kinsoku/>
              <w:wordWrap/>
              <w:overflowPunct/>
              <w:topLinePunct/>
              <w:autoSpaceDE/>
              <w:autoSpaceDN/>
              <w:bidi w:val="0"/>
              <w:adjustRightInd/>
              <w:snapToGrid/>
              <w:spacing w:line="520" w:lineRule="exact"/>
              <w:ind w:firstLine="480" w:firstLineChars="20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1、工作交接对象要明确，且每次开会，相关人员必须到位；</w:t>
            </w:r>
          </w:p>
          <w:p>
            <w:pPr>
              <w:keepNext w:val="0"/>
              <w:keepLines w:val="0"/>
              <w:pageBreakBefore w:val="0"/>
              <w:widowControl w:val="0"/>
              <w:kinsoku/>
              <w:wordWrap/>
              <w:overflowPunct/>
              <w:topLinePunct/>
              <w:autoSpaceDE/>
              <w:autoSpaceDN/>
              <w:bidi w:val="0"/>
              <w:adjustRightInd/>
              <w:snapToGrid/>
              <w:spacing w:line="520" w:lineRule="exact"/>
              <w:ind w:left="719" w:leftChars="228" w:hanging="240" w:hangingChars="10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2、设计交底本次交底只是结构图，没有涉及箱变、逆变、桥架，图纸不够全面；洪评报告还要45日才能出，桩位位于路边、田埂边的，桩顶标高有存在相差50~60公分的，会上强调要求严格控制，这也是作为是施工班组与监理控制的依据，现场很多桩未按照交底组织施工，尤其是汤庄项目，本次会议强调田埂上的桩属于庄口改造工程范围内，继续出现这样的情况，验收时判定为不合格；</w:t>
            </w:r>
          </w:p>
          <w:p>
            <w:pPr>
              <w:keepNext w:val="0"/>
              <w:keepLines w:val="0"/>
              <w:pageBreakBefore w:val="0"/>
              <w:widowControl w:val="0"/>
              <w:kinsoku/>
              <w:wordWrap/>
              <w:overflowPunct/>
              <w:topLinePunct/>
              <w:autoSpaceDE/>
              <w:autoSpaceDN/>
              <w:bidi w:val="0"/>
              <w:adjustRightInd/>
              <w:snapToGrid/>
              <w:spacing w:line="520" w:lineRule="exact"/>
              <w:ind w:left="719" w:leftChars="228" w:hanging="240" w:hangingChars="10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3、试桩抗拔、抗拉试验未落实；</w:t>
            </w:r>
          </w:p>
          <w:p>
            <w:pPr>
              <w:keepNext w:val="0"/>
              <w:keepLines w:val="0"/>
              <w:pageBreakBefore w:val="0"/>
              <w:widowControl w:val="0"/>
              <w:kinsoku/>
              <w:wordWrap/>
              <w:overflowPunct/>
              <w:topLinePunct/>
              <w:autoSpaceDE/>
              <w:autoSpaceDN/>
              <w:bidi w:val="0"/>
              <w:adjustRightInd/>
              <w:snapToGrid/>
              <w:spacing w:line="520" w:lineRule="exact"/>
              <w:ind w:left="719" w:leftChars="228" w:hanging="240" w:hangingChars="10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4、群里发的管桩质量问题，要及时跟踪；不合格的桩退场无证明，打桩的机械要求是静压桩机，现场使用的是锤击桩机，容易对桩身质量产生影响，据建设单位意见，后面仍出现破坏桩身质量的情况，初次罚款1万/次，再次出现就2万/次，4万/次成倍的处罚；</w:t>
            </w:r>
          </w:p>
          <w:p>
            <w:pPr>
              <w:keepNext w:val="0"/>
              <w:keepLines w:val="0"/>
              <w:pageBreakBefore w:val="0"/>
              <w:widowControl w:val="0"/>
              <w:kinsoku/>
              <w:wordWrap/>
              <w:overflowPunct/>
              <w:topLinePunct/>
              <w:autoSpaceDE/>
              <w:autoSpaceDN/>
              <w:bidi w:val="0"/>
              <w:adjustRightInd/>
              <w:snapToGrid/>
              <w:spacing w:line="520" w:lineRule="exact"/>
              <w:ind w:left="719" w:leftChars="228" w:hanging="240" w:hangingChars="10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5、桩基检测单位只检测了临泽项目，总包单位要与检测单位及时联系，取得检测报告，没有检测报告的，一律不允许使用于本工程，如果擅自施工的，签发停工令；目前升压站的土建施工，基础处理方案都没有，相关手续和资料必需要同步；</w:t>
            </w:r>
          </w:p>
          <w:p>
            <w:pPr>
              <w:keepNext w:val="0"/>
              <w:keepLines w:val="0"/>
              <w:pageBreakBefore w:val="0"/>
              <w:widowControl w:val="0"/>
              <w:kinsoku/>
              <w:wordWrap/>
              <w:overflowPunct/>
              <w:topLinePunct/>
              <w:autoSpaceDE/>
              <w:autoSpaceDN/>
              <w:bidi w:val="0"/>
              <w:adjustRightInd/>
              <w:snapToGrid/>
              <w:spacing w:line="520" w:lineRule="exact"/>
              <w:ind w:left="719" w:leftChars="228" w:hanging="240" w:hangingChars="100"/>
              <w:textAlignment w:val="auto"/>
              <w:rPr>
                <w:rFonts w:hint="default"/>
                <w:lang w:val="en-US" w:eastAsia="zh-CN"/>
              </w:rPr>
            </w:pPr>
            <w:r>
              <w:rPr>
                <w:rFonts w:hint="eastAsia" w:ascii="宋体" w:hAnsi="宋体" w:cs="Times New Roman"/>
                <w:sz w:val="24"/>
                <w:szCs w:val="24"/>
                <w:lang w:val="en-US" w:eastAsia="zh-CN"/>
              </w:rPr>
              <w:t>6、监理资料需报审至监管单位；监理单位人员配备需满足合同要求；</w:t>
            </w:r>
          </w:p>
          <w:tbl>
            <w:tblPr>
              <w:tblStyle w:val="9"/>
              <w:tblpPr w:leftFromText="180" w:rightFromText="180" w:vertAnchor="text" w:horzAnchor="page" w:tblpX="-63" w:tblpY="91"/>
              <w:tblOverlap w:val="never"/>
              <w:tblW w:w="9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1647" w:type="dxa"/>
                  <w:vAlign w:val="center"/>
                </w:tcPr>
                <w:p>
                  <w:pPr>
                    <w:keepNext w:val="0"/>
                    <w:keepLines w:val="0"/>
                    <w:pageBreakBefore w:val="0"/>
                    <w:widowControl w:val="0"/>
                    <w:kinsoku/>
                    <w:wordWrap/>
                    <w:overflowPunct/>
                    <w:topLinePunct/>
                    <w:autoSpaceDE/>
                    <w:autoSpaceDN/>
                    <w:bidi w:val="0"/>
                    <w:adjustRightInd/>
                    <w:snapToGrid/>
                    <w:spacing w:line="520" w:lineRule="exact"/>
                    <w:jc w:val="center"/>
                    <w:textAlignment w:val="auto"/>
                    <w:rPr>
                      <w:rFonts w:hint="default" w:ascii="宋体" w:hAnsi="宋体"/>
                      <w:sz w:val="24"/>
                      <w:szCs w:val="24"/>
                      <w:vertAlign w:val="baseline"/>
                      <w:lang w:val="en-US" w:eastAsia="zh-CN"/>
                    </w:rPr>
                  </w:pPr>
                  <w:r>
                    <w:rPr>
                      <w:rFonts w:hint="eastAsia" w:ascii="宋体" w:hAnsi="宋体"/>
                      <w:sz w:val="24"/>
                      <w:szCs w:val="24"/>
                    </w:rPr>
                    <w:t>主送单位</w:t>
                  </w:r>
                </w:p>
              </w:tc>
              <w:tc>
                <w:tcPr>
                  <w:tcW w:w="8080" w:type="dxa"/>
                </w:tcPr>
                <w:p>
                  <w:pPr>
                    <w:pStyle w:val="7"/>
                    <w:keepNext w:val="0"/>
                    <w:keepLines w:val="0"/>
                    <w:pageBreakBefore w:val="0"/>
                    <w:widowControl w:val="0"/>
                    <w:tabs>
                      <w:tab w:val="right" w:leader="dot" w:pos="9016"/>
                    </w:tabs>
                    <w:kinsoku/>
                    <w:wordWrap/>
                    <w:overflowPunct/>
                    <w:topLinePunct w:val="0"/>
                    <w:autoSpaceDE/>
                    <w:autoSpaceDN/>
                    <w:bidi w:val="0"/>
                    <w:ind w:right="-313" w:rightChars="-149" w:firstLine="0" w:firstLineChars="0"/>
                    <w:jc w:val="both"/>
                    <w:textAlignment w:val="auto"/>
                    <w:rPr>
                      <w:rFonts w:hint="eastAsia" w:asciiTheme="minorHAnsi" w:hAnsiTheme="minorHAnsi" w:eastAsiaTheme="minorEastAsia" w:cstheme="minorBidi"/>
                      <w:kern w:val="2"/>
                      <w:sz w:val="24"/>
                      <w:szCs w:val="24"/>
                      <w:lang w:val="en-US" w:eastAsia="zh-CN" w:bidi="ar-SA"/>
                    </w:rPr>
                  </w:pPr>
                </w:p>
                <w:p>
                  <w:pPr>
                    <w:pStyle w:val="7"/>
                    <w:keepNext w:val="0"/>
                    <w:keepLines w:val="0"/>
                    <w:pageBreakBefore w:val="0"/>
                    <w:widowControl w:val="0"/>
                    <w:tabs>
                      <w:tab w:val="right" w:leader="dot" w:pos="9016"/>
                    </w:tabs>
                    <w:kinsoku/>
                    <w:wordWrap/>
                    <w:overflowPunct/>
                    <w:topLinePunct w:val="0"/>
                    <w:autoSpaceDE/>
                    <w:autoSpaceDN/>
                    <w:bidi w:val="0"/>
                    <w:ind w:right="-313" w:rightChars="-149" w:firstLine="0" w:firstLineChars="0"/>
                    <w:jc w:val="both"/>
                    <w:textAlignment w:val="auto"/>
                    <w:rPr>
                      <w:rFonts w:hint="eastAsia"/>
                      <w:b w:val="0"/>
                      <w:bCs w:val="0"/>
                      <w:sz w:val="24"/>
                      <w:szCs w:val="24"/>
                      <w:vertAlign w:val="baseline"/>
                      <w:lang w:val="en-US" w:eastAsia="zh-CN"/>
                    </w:rPr>
                  </w:pPr>
                  <w:r>
                    <w:rPr>
                      <w:rFonts w:hint="eastAsia" w:asciiTheme="minorHAnsi" w:hAnsiTheme="minorHAnsi" w:eastAsiaTheme="minorEastAsia" w:cstheme="minorBidi"/>
                      <w:kern w:val="2"/>
                      <w:sz w:val="24"/>
                      <w:szCs w:val="24"/>
                      <w:lang w:val="en-US" w:eastAsia="zh-CN" w:bidi="ar-SA"/>
                    </w:rPr>
                    <w:t>信息产业电子第十一设计研究院科技工程股份有限公司</w:t>
                  </w:r>
                  <w:r>
                    <w:rPr>
                      <w:rFonts w:hint="eastAsia"/>
                      <w:b w:val="0"/>
                      <w:bCs w:val="0"/>
                      <w:sz w:val="24"/>
                      <w:szCs w:val="24"/>
                      <w:vertAlign w:val="baseline"/>
                      <w:lang w:val="en-US" w:eastAsia="zh-CN"/>
                    </w:rPr>
                    <w:t>（总包项目部）</w:t>
                  </w:r>
                </w:p>
                <w:p>
                  <w:pPr>
                    <w:keepNext w:val="0"/>
                    <w:keepLines w:val="0"/>
                    <w:pageBreakBefore w:val="0"/>
                    <w:widowControl w:val="0"/>
                    <w:kinsoku/>
                    <w:wordWrap/>
                    <w:overflowPunct/>
                    <w:topLinePunct/>
                    <w:autoSpaceDE/>
                    <w:autoSpaceDN/>
                    <w:bidi w:val="0"/>
                    <w:adjustRightInd/>
                    <w:snapToGrid/>
                    <w:spacing w:line="520" w:lineRule="exact"/>
                    <w:ind w:firstLine="1200" w:firstLineChars="500"/>
                    <w:jc w:val="both"/>
                    <w:textAlignment w:val="auto"/>
                    <w:rPr>
                      <w:rFonts w:hint="default" w:ascii="宋体" w:hAnsi="宋体"/>
                      <w:sz w:val="24"/>
                      <w:szCs w:val="24"/>
                      <w:vertAlign w:val="baseline"/>
                      <w:lang w:val="en-US" w:eastAsia="zh-CN"/>
                    </w:rPr>
                  </w:pPr>
                  <w:r>
                    <w:rPr>
                      <w:rFonts w:hint="eastAsia" w:asciiTheme="minorHAnsi" w:hAnsiTheme="minorHAnsi" w:eastAsiaTheme="minorEastAsia" w:cstheme="minorBidi"/>
                      <w:kern w:val="2"/>
                      <w:sz w:val="24"/>
                      <w:szCs w:val="24"/>
                      <w:lang w:val="en-US" w:eastAsia="zh-CN" w:bidi="ar-SA"/>
                    </w:rPr>
                    <w:t>新霖飞（扬州）光伏科技有限公司</w:t>
                  </w:r>
                  <w:r>
                    <w:rPr>
                      <w:rFonts w:hint="eastAsia"/>
                      <w:b w:val="0"/>
                      <w:bCs w:val="0"/>
                      <w:sz w:val="24"/>
                      <w:szCs w:val="24"/>
                      <w:vertAlign w:val="baseline"/>
                      <w:lang w:val="en-US" w:eastAsia="zh-CN"/>
                    </w:rPr>
                    <w:t>（总包项目部）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647" w:type="dxa"/>
                </w:tcPr>
                <w:p>
                  <w:pPr>
                    <w:keepNext w:val="0"/>
                    <w:keepLines w:val="0"/>
                    <w:pageBreakBefore w:val="0"/>
                    <w:widowControl w:val="0"/>
                    <w:kinsoku/>
                    <w:wordWrap/>
                    <w:overflowPunct/>
                    <w:topLinePunct/>
                    <w:autoSpaceDE/>
                    <w:autoSpaceDN/>
                    <w:bidi w:val="0"/>
                    <w:adjustRightInd/>
                    <w:snapToGrid/>
                    <w:spacing w:line="520" w:lineRule="exact"/>
                    <w:jc w:val="center"/>
                    <w:textAlignment w:val="auto"/>
                    <w:rPr>
                      <w:rFonts w:hint="default" w:ascii="宋体" w:hAnsi="宋体"/>
                      <w:sz w:val="24"/>
                      <w:szCs w:val="24"/>
                      <w:vertAlign w:val="baseline"/>
                      <w:lang w:val="en-US" w:eastAsia="zh-CN"/>
                    </w:rPr>
                  </w:pPr>
                  <w:r>
                    <w:rPr>
                      <w:rFonts w:hint="eastAsia" w:ascii="宋体" w:hAnsi="宋体"/>
                      <w:sz w:val="24"/>
                      <w:szCs w:val="24"/>
                    </w:rPr>
                    <w:t>抄送单位</w:t>
                  </w:r>
                </w:p>
              </w:tc>
              <w:tc>
                <w:tcPr>
                  <w:tcW w:w="8080" w:type="dxa"/>
                  <w:vAlign w:val="center"/>
                </w:tcPr>
                <w:p>
                  <w:pPr>
                    <w:keepNext w:val="0"/>
                    <w:keepLines w:val="0"/>
                    <w:pageBreakBefore w:val="0"/>
                    <w:widowControl w:val="0"/>
                    <w:kinsoku/>
                    <w:wordWrap/>
                    <w:overflowPunct/>
                    <w:topLinePunct/>
                    <w:autoSpaceDE/>
                    <w:autoSpaceDN/>
                    <w:bidi w:val="0"/>
                    <w:adjustRightInd/>
                    <w:snapToGrid/>
                    <w:spacing w:line="520" w:lineRule="exact"/>
                    <w:ind w:firstLine="1920" w:firstLineChars="800"/>
                    <w:jc w:val="both"/>
                    <w:textAlignment w:val="auto"/>
                    <w:rPr>
                      <w:rFonts w:hint="default" w:ascii="宋体" w:hAnsi="宋体"/>
                      <w:sz w:val="24"/>
                      <w:szCs w:val="24"/>
                      <w:vertAlign w:val="baseline"/>
                      <w:lang w:val="en-US" w:eastAsia="zh-CN"/>
                    </w:rPr>
                  </w:pPr>
                  <w:r>
                    <w:rPr>
                      <w:rFonts w:hint="eastAsia" w:asciiTheme="minorHAnsi" w:hAnsiTheme="minorHAnsi" w:eastAsiaTheme="minorEastAsia" w:cstheme="minorBidi"/>
                      <w:kern w:val="2"/>
                      <w:sz w:val="24"/>
                      <w:szCs w:val="24"/>
                      <w:lang w:val="en-US" w:eastAsia="zh-CN" w:bidi="ar-SA"/>
                    </w:rPr>
                    <w:t>高邮市鑫辰新能源有限公司</w:t>
                  </w:r>
                </w:p>
              </w:tc>
            </w:tr>
          </w:tbl>
          <w:p>
            <w:pPr>
              <w:keepNext w:val="0"/>
              <w:keepLines w:val="0"/>
              <w:pageBreakBefore w:val="0"/>
              <w:tabs>
                <w:tab w:val="center" w:pos="4153"/>
                <w:tab w:val="right" w:pos="8306"/>
              </w:tabs>
              <w:kinsoku/>
              <w:overflowPunct/>
              <w:autoSpaceDE/>
              <w:autoSpaceDN/>
              <w:bidi w:val="0"/>
              <w:adjustRightInd/>
              <w:snapToGrid w:val="0"/>
              <w:spacing w:before="280" w:after="280" w:line="380" w:lineRule="exact"/>
              <w:jc w:val="both"/>
              <w:textAlignment w:val="auto"/>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1213" w:hRule="atLeast"/>
        </w:trPr>
        <w:tc>
          <w:tcPr>
            <w:tcW w:w="1650" w:type="dxa"/>
            <w:tcBorders>
              <w:top w:val="single" w:color="auto" w:sz="4" w:space="0"/>
              <w:left w:val="single" w:color="auto" w:sz="8" w:space="0"/>
              <w:bottom w:val="single" w:color="auto" w:sz="8" w:space="0"/>
              <w:right w:val="single" w:color="auto" w:sz="4" w:space="0"/>
            </w:tcBorders>
            <w:vAlign w:val="center"/>
          </w:tcPr>
          <w:p>
            <w:pPr>
              <w:topLinePunct/>
              <w:jc w:val="center"/>
              <w:rPr>
                <w:rFonts w:ascii="宋体" w:hAnsi="宋体"/>
                <w:sz w:val="24"/>
                <w:szCs w:val="24"/>
              </w:rPr>
            </w:pPr>
            <w:r>
              <w:rPr>
                <w:rFonts w:hint="eastAsia" w:ascii="宋体" w:hAnsi="宋体"/>
                <w:sz w:val="24"/>
                <w:szCs w:val="24"/>
              </w:rPr>
              <w:t>发文单位</w:t>
            </w:r>
          </w:p>
        </w:tc>
        <w:tc>
          <w:tcPr>
            <w:tcW w:w="4121" w:type="dxa"/>
            <w:gridSpan w:val="3"/>
            <w:tcBorders>
              <w:top w:val="single" w:color="auto" w:sz="4" w:space="0"/>
              <w:left w:val="single" w:color="auto" w:sz="4" w:space="0"/>
              <w:bottom w:val="single" w:color="auto" w:sz="8" w:space="0"/>
              <w:right w:val="single" w:color="auto" w:sz="4" w:space="0"/>
            </w:tcBorders>
            <w:vAlign w:val="center"/>
          </w:tcPr>
          <w:p>
            <w:pPr>
              <w:topLinePunct/>
              <w:rPr>
                <w:rFonts w:hint="default" w:ascii="宋体" w:hAnsi="宋体"/>
                <w:sz w:val="24"/>
                <w:szCs w:val="24"/>
                <w:lang w:val="en-US"/>
              </w:rPr>
            </w:pPr>
            <w:r>
              <w:rPr>
                <w:rFonts w:hint="eastAsia" w:ascii="宋体" w:hAnsi="宋体" w:eastAsia="宋体" w:cs="Times New Roman"/>
                <w:b w:val="0"/>
                <w:bCs w:val="0"/>
                <w:kern w:val="2"/>
                <w:sz w:val="21"/>
                <w:szCs w:val="21"/>
                <w:lang w:val="en-US" w:eastAsia="zh-CN" w:bidi="ar-SA"/>
              </w:rPr>
              <w:t>高邮市鑫辰新能源有限公司汤庄镇</w:t>
            </w:r>
            <w:r>
              <w:rPr>
                <w:rFonts w:hint="eastAsia" w:ascii="宋体" w:hAnsi="宋体" w:cs="Times New Roman"/>
                <w:b w:val="0"/>
                <w:bCs w:val="0"/>
                <w:kern w:val="2"/>
                <w:sz w:val="21"/>
                <w:szCs w:val="21"/>
                <w:lang w:val="en-US" w:eastAsia="zh-CN" w:bidi="ar-SA"/>
              </w:rPr>
              <w:t>78</w:t>
            </w:r>
            <w:r>
              <w:rPr>
                <w:rFonts w:hint="eastAsia" w:ascii="宋体" w:hAnsi="宋体" w:eastAsia="宋体" w:cs="Times New Roman"/>
                <w:b w:val="0"/>
                <w:bCs w:val="0"/>
                <w:kern w:val="2"/>
                <w:sz w:val="21"/>
                <w:szCs w:val="21"/>
                <w:lang w:val="en-US" w:eastAsia="zh-CN" w:bidi="ar-SA"/>
              </w:rPr>
              <w:t>MW渔光互补光伏发电项目</w:t>
            </w:r>
            <w:r>
              <w:rPr>
                <w:rFonts w:hint="eastAsia" w:ascii="宋体" w:hAnsi="宋体"/>
                <w:sz w:val="24"/>
                <w:szCs w:val="24"/>
                <w:lang w:val="en-US" w:eastAsia="zh-CN"/>
              </w:rPr>
              <w:t>监理项目部</w:t>
            </w:r>
          </w:p>
        </w:tc>
        <w:tc>
          <w:tcPr>
            <w:tcW w:w="1570" w:type="dxa"/>
            <w:gridSpan w:val="2"/>
            <w:tcBorders>
              <w:top w:val="single" w:color="auto" w:sz="4" w:space="0"/>
              <w:left w:val="single" w:color="auto" w:sz="4" w:space="0"/>
              <w:bottom w:val="single" w:color="auto" w:sz="8" w:space="0"/>
              <w:right w:val="single" w:color="auto" w:sz="4" w:space="0"/>
            </w:tcBorders>
            <w:vAlign w:val="center"/>
          </w:tcPr>
          <w:p>
            <w:pPr>
              <w:topLinePunct/>
              <w:jc w:val="center"/>
              <w:rPr>
                <w:rFonts w:ascii="宋体" w:hAnsi="宋体"/>
                <w:sz w:val="24"/>
                <w:szCs w:val="24"/>
              </w:rPr>
            </w:pPr>
            <w:r>
              <w:rPr>
                <w:rFonts w:hint="eastAsia" w:ascii="宋体" w:hAnsi="宋体"/>
                <w:sz w:val="24"/>
                <w:szCs w:val="24"/>
              </w:rPr>
              <w:t>发文时间</w:t>
            </w:r>
          </w:p>
        </w:tc>
        <w:tc>
          <w:tcPr>
            <w:tcW w:w="2538" w:type="dxa"/>
            <w:tcBorders>
              <w:top w:val="single" w:color="auto" w:sz="4" w:space="0"/>
              <w:left w:val="single" w:color="auto" w:sz="4" w:space="0"/>
              <w:bottom w:val="single" w:color="auto" w:sz="8" w:space="0"/>
              <w:right w:val="single" w:color="auto" w:sz="8" w:space="0"/>
            </w:tcBorders>
            <w:vAlign w:val="center"/>
          </w:tcPr>
          <w:p>
            <w:pPr>
              <w:topLinePunct/>
              <w:rPr>
                <w:rFonts w:ascii="宋体" w:hAnsi="宋体"/>
                <w:sz w:val="24"/>
                <w:szCs w:val="24"/>
              </w:rPr>
            </w:pPr>
            <w:r>
              <w:rPr>
                <w:rFonts w:hint="eastAsia" w:ascii="宋体" w:hAnsi="宋体"/>
                <w:sz w:val="24"/>
                <w:szCs w:val="24"/>
              </w:rPr>
              <w:t>20</w:t>
            </w:r>
            <w:r>
              <w:rPr>
                <w:rFonts w:hint="eastAsia" w:ascii="宋体" w:hAnsi="宋体"/>
                <w:sz w:val="24"/>
                <w:szCs w:val="24"/>
                <w:lang w:val="en-US" w:eastAsia="zh-CN"/>
              </w:rPr>
              <w:t>24</w:t>
            </w:r>
            <w:r>
              <w:rPr>
                <w:rFonts w:hint="eastAsia" w:ascii="宋体" w:hAnsi="宋体"/>
                <w:sz w:val="24"/>
                <w:szCs w:val="24"/>
              </w:rPr>
              <w:t>年</w:t>
            </w:r>
            <w:r>
              <w:rPr>
                <w:rFonts w:hint="eastAsia" w:ascii="宋体" w:hAnsi="宋体"/>
                <w:sz w:val="24"/>
                <w:szCs w:val="24"/>
                <w:lang w:val="en-US" w:eastAsia="zh-CN"/>
              </w:rPr>
              <w:t>12</w:t>
            </w:r>
            <w:r>
              <w:rPr>
                <w:rFonts w:hint="eastAsia" w:ascii="宋体" w:hAnsi="宋体"/>
                <w:sz w:val="24"/>
                <w:szCs w:val="24"/>
              </w:rPr>
              <w:t>月</w:t>
            </w:r>
            <w:r>
              <w:rPr>
                <w:rFonts w:hint="eastAsia" w:ascii="宋体" w:hAnsi="宋体"/>
                <w:sz w:val="24"/>
                <w:szCs w:val="24"/>
                <w:lang w:val="en-US" w:eastAsia="zh-CN"/>
              </w:rPr>
              <w:t>10</w:t>
            </w:r>
            <w:r>
              <w:rPr>
                <w:rFonts w:hint="eastAsia" w:ascii="宋体" w:hAnsi="宋体"/>
                <w:sz w:val="24"/>
                <w:szCs w:val="24"/>
              </w:rPr>
              <w:t>日</w:t>
            </w:r>
          </w:p>
        </w:tc>
      </w:tr>
    </w:tbl>
    <w:p>
      <w:pPr>
        <w:spacing w:line="300" w:lineRule="auto"/>
        <w:rPr>
          <w:rFonts w:ascii="宋体" w:hAnsi="宋体"/>
        </w:rPr>
      </w:pPr>
      <w:r>
        <w:rPr>
          <w:rFonts w:hint="eastAsia" w:ascii="宋体" w:hAnsi="宋体"/>
        </w:rPr>
        <w:t>注：会议纪要由监理项目部起草，经总监理工程师签发后</w:t>
      </w:r>
      <w:bookmarkStart w:id="0" w:name="_GoBack"/>
      <w:bookmarkEnd w:id="0"/>
      <w:r>
        <w:rPr>
          <w:rFonts w:hint="eastAsia" w:ascii="宋体" w:hAnsi="宋体"/>
        </w:rPr>
        <w:t>下发。</w:t>
      </w:r>
    </w:p>
    <w:sectPr>
      <w:pgSz w:w="11906" w:h="16838"/>
      <w:pgMar w:top="1417" w:right="850" w:bottom="85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4F67E3"/>
    <w:multiLevelType w:val="singleLevel"/>
    <w:tmpl w:val="C34F67E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lZjJmMDc0MjkyZjZmZmU5YTI2MzkyYzg1NzUwMWIifQ=="/>
  </w:docVars>
  <w:rsids>
    <w:rsidRoot w:val="00C3422C"/>
    <w:rsid w:val="00015FF7"/>
    <w:rsid w:val="002E1F6F"/>
    <w:rsid w:val="00324796"/>
    <w:rsid w:val="003F27A7"/>
    <w:rsid w:val="003F4B5A"/>
    <w:rsid w:val="00443541"/>
    <w:rsid w:val="00495357"/>
    <w:rsid w:val="005F4E22"/>
    <w:rsid w:val="007934FF"/>
    <w:rsid w:val="00920FD8"/>
    <w:rsid w:val="00932385"/>
    <w:rsid w:val="009420EF"/>
    <w:rsid w:val="00A17DF3"/>
    <w:rsid w:val="00A34885"/>
    <w:rsid w:val="00BA2E0A"/>
    <w:rsid w:val="00BF2BA1"/>
    <w:rsid w:val="00C3422C"/>
    <w:rsid w:val="00D34580"/>
    <w:rsid w:val="00D8750C"/>
    <w:rsid w:val="00F83F4B"/>
    <w:rsid w:val="01A93FA3"/>
    <w:rsid w:val="01CF32DE"/>
    <w:rsid w:val="020B07BA"/>
    <w:rsid w:val="02682BCA"/>
    <w:rsid w:val="02A906AB"/>
    <w:rsid w:val="02D7069C"/>
    <w:rsid w:val="038500F8"/>
    <w:rsid w:val="03936A9A"/>
    <w:rsid w:val="03C230FA"/>
    <w:rsid w:val="03EB21FB"/>
    <w:rsid w:val="04EB48D3"/>
    <w:rsid w:val="04F44C4D"/>
    <w:rsid w:val="05685F23"/>
    <w:rsid w:val="057448C8"/>
    <w:rsid w:val="06C90C44"/>
    <w:rsid w:val="06D73361"/>
    <w:rsid w:val="07434552"/>
    <w:rsid w:val="07AF25A1"/>
    <w:rsid w:val="080D2DB2"/>
    <w:rsid w:val="082A73B0"/>
    <w:rsid w:val="08C77405"/>
    <w:rsid w:val="0A116B8A"/>
    <w:rsid w:val="0A1B7A08"/>
    <w:rsid w:val="0ABD4D97"/>
    <w:rsid w:val="0B1E1CA6"/>
    <w:rsid w:val="0C41127C"/>
    <w:rsid w:val="0C760F26"/>
    <w:rsid w:val="0C970868"/>
    <w:rsid w:val="0CF14A50"/>
    <w:rsid w:val="0D5C45C0"/>
    <w:rsid w:val="0E5927C4"/>
    <w:rsid w:val="0E910299"/>
    <w:rsid w:val="0E9B4C74"/>
    <w:rsid w:val="0F76748F"/>
    <w:rsid w:val="10DC1574"/>
    <w:rsid w:val="114E421F"/>
    <w:rsid w:val="11C269BB"/>
    <w:rsid w:val="11C87287"/>
    <w:rsid w:val="122F22A3"/>
    <w:rsid w:val="128D521B"/>
    <w:rsid w:val="1376180B"/>
    <w:rsid w:val="15595889"/>
    <w:rsid w:val="157E709D"/>
    <w:rsid w:val="165F2A2B"/>
    <w:rsid w:val="177D585E"/>
    <w:rsid w:val="17C52D61"/>
    <w:rsid w:val="18167A61"/>
    <w:rsid w:val="1839732D"/>
    <w:rsid w:val="191E097B"/>
    <w:rsid w:val="19AA220F"/>
    <w:rsid w:val="1A3F6DFB"/>
    <w:rsid w:val="1A8D50BE"/>
    <w:rsid w:val="1B656D35"/>
    <w:rsid w:val="1BAA0BEC"/>
    <w:rsid w:val="1C640D9B"/>
    <w:rsid w:val="1C93538B"/>
    <w:rsid w:val="1C984EE8"/>
    <w:rsid w:val="1CE051F5"/>
    <w:rsid w:val="1E8A6AB3"/>
    <w:rsid w:val="1EF53F2C"/>
    <w:rsid w:val="1F7F413E"/>
    <w:rsid w:val="1FBE6A14"/>
    <w:rsid w:val="1FDA1374"/>
    <w:rsid w:val="202C6073"/>
    <w:rsid w:val="21156B08"/>
    <w:rsid w:val="213A445D"/>
    <w:rsid w:val="21463165"/>
    <w:rsid w:val="215B3A8E"/>
    <w:rsid w:val="216B2BCB"/>
    <w:rsid w:val="2188552B"/>
    <w:rsid w:val="21B75E11"/>
    <w:rsid w:val="22482F0D"/>
    <w:rsid w:val="22610A7D"/>
    <w:rsid w:val="231C6FDA"/>
    <w:rsid w:val="233A2855"/>
    <w:rsid w:val="235002CB"/>
    <w:rsid w:val="23F76998"/>
    <w:rsid w:val="240115C5"/>
    <w:rsid w:val="246B6A3F"/>
    <w:rsid w:val="248F6BD1"/>
    <w:rsid w:val="254B5453"/>
    <w:rsid w:val="259F1096"/>
    <w:rsid w:val="25B74631"/>
    <w:rsid w:val="25B872D0"/>
    <w:rsid w:val="25DC4098"/>
    <w:rsid w:val="27084A19"/>
    <w:rsid w:val="27257379"/>
    <w:rsid w:val="283147CD"/>
    <w:rsid w:val="28B430AA"/>
    <w:rsid w:val="28ED2118"/>
    <w:rsid w:val="29EE7EF6"/>
    <w:rsid w:val="2A225B77"/>
    <w:rsid w:val="2AB96756"/>
    <w:rsid w:val="2AC86999"/>
    <w:rsid w:val="2B0F281A"/>
    <w:rsid w:val="2B4C1378"/>
    <w:rsid w:val="2BD355F5"/>
    <w:rsid w:val="2C562C51"/>
    <w:rsid w:val="2C7E4C05"/>
    <w:rsid w:val="2CA90E5B"/>
    <w:rsid w:val="2CCD64E8"/>
    <w:rsid w:val="2D0D4B37"/>
    <w:rsid w:val="2DA4163E"/>
    <w:rsid w:val="2DD66F8C"/>
    <w:rsid w:val="2E76670C"/>
    <w:rsid w:val="2EC35069"/>
    <w:rsid w:val="2F01691D"/>
    <w:rsid w:val="2F68699C"/>
    <w:rsid w:val="2F7E1D1C"/>
    <w:rsid w:val="2F8337D6"/>
    <w:rsid w:val="2FA572A9"/>
    <w:rsid w:val="302B1DA4"/>
    <w:rsid w:val="30FA3624"/>
    <w:rsid w:val="30FA7AC8"/>
    <w:rsid w:val="31046251"/>
    <w:rsid w:val="32E620B2"/>
    <w:rsid w:val="334F51E5"/>
    <w:rsid w:val="33552D94"/>
    <w:rsid w:val="33743B62"/>
    <w:rsid w:val="33951EF8"/>
    <w:rsid w:val="345968B4"/>
    <w:rsid w:val="347B2CCE"/>
    <w:rsid w:val="347B4A7C"/>
    <w:rsid w:val="34A15065"/>
    <w:rsid w:val="355A28E3"/>
    <w:rsid w:val="355D31B9"/>
    <w:rsid w:val="364041CF"/>
    <w:rsid w:val="36835E6A"/>
    <w:rsid w:val="37503F9E"/>
    <w:rsid w:val="37781747"/>
    <w:rsid w:val="37CB5D1A"/>
    <w:rsid w:val="37F232A7"/>
    <w:rsid w:val="39B50A30"/>
    <w:rsid w:val="3A240899"/>
    <w:rsid w:val="3B4F3386"/>
    <w:rsid w:val="3B6025B6"/>
    <w:rsid w:val="3CD5628A"/>
    <w:rsid w:val="3DB01C3A"/>
    <w:rsid w:val="3DBD4357"/>
    <w:rsid w:val="3E111FAD"/>
    <w:rsid w:val="3E636CAD"/>
    <w:rsid w:val="3EB47508"/>
    <w:rsid w:val="3EC51715"/>
    <w:rsid w:val="401F30A7"/>
    <w:rsid w:val="4105229D"/>
    <w:rsid w:val="41574443"/>
    <w:rsid w:val="41A82C28"/>
    <w:rsid w:val="41B65345"/>
    <w:rsid w:val="42276243"/>
    <w:rsid w:val="426A072B"/>
    <w:rsid w:val="430F11B1"/>
    <w:rsid w:val="43886603"/>
    <w:rsid w:val="43B104BA"/>
    <w:rsid w:val="440E76BA"/>
    <w:rsid w:val="443D1D4E"/>
    <w:rsid w:val="444E5D09"/>
    <w:rsid w:val="47013507"/>
    <w:rsid w:val="474B6530"/>
    <w:rsid w:val="475E48C8"/>
    <w:rsid w:val="477E6905"/>
    <w:rsid w:val="48164D90"/>
    <w:rsid w:val="485A1120"/>
    <w:rsid w:val="486E585B"/>
    <w:rsid w:val="487B1097"/>
    <w:rsid w:val="49470F79"/>
    <w:rsid w:val="4A01737A"/>
    <w:rsid w:val="4A7B712C"/>
    <w:rsid w:val="4AB71B61"/>
    <w:rsid w:val="4B02784D"/>
    <w:rsid w:val="4C2973D6"/>
    <w:rsid w:val="4C725314"/>
    <w:rsid w:val="4CB330CE"/>
    <w:rsid w:val="4DE80860"/>
    <w:rsid w:val="4E2A3343"/>
    <w:rsid w:val="4E8B1908"/>
    <w:rsid w:val="4F1F09CE"/>
    <w:rsid w:val="4FB629B4"/>
    <w:rsid w:val="4FCD667C"/>
    <w:rsid w:val="4FE55AA1"/>
    <w:rsid w:val="4FEB4D54"/>
    <w:rsid w:val="50224539"/>
    <w:rsid w:val="51002139"/>
    <w:rsid w:val="51A46F68"/>
    <w:rsid w:val="51C63383"/>
    <w:rsid w:val="51D51818"/>
    <w:rsid w:val="530A3743"/>
    <w:rsid w:val="54C61594"/>
    <w:rsid w:val="55A25EB5"/>
    <w:rsid w:val="560A5808"/>
    <w:rsid w:val="56836010"/>
    <w:rsid w:val="57DB3900"/>
    <w:rsid w:val="583D3C73"/>
    <w:rsid w:val="58A41F44"/>
    <w:rsid w:val="58BE1257"/>
    <w:rsid w:val="59570D64"/>
    <w:rsid w:val="59594ADC"/>
    <w:rsid w:val="5A1B4488"/>
    <w:rsid w:val="5A715E56"/>
    <w:rsid w:val="5A84202D"/>
    <w:rsid w:val="5AB04BD0"/>
    <w:rsid w:val="5C531CB7"/>
    <w:rsid w:val="5CA16EC6"/>
    <w:rsid w:val="5CE40B61"/>
    <w:rsid w:val="5D2700D3"/>
    <w:rsid w:val="5DA30A1C"/>
    <w:rsid w:val="5DC664B8"/>
    <w:rsid w:val="5E5B30A5"/>
    <w:rsid w:val="5F8E1258"/>
    <w:rsid w:val="60E94998"/>
    <w:rsid w:val="61112140"/>
    <w:rsid w:val="614C594E"/>
    <w:rsid w:val="61B256D1"/>
    <w:rsid w:val="62312A9A"/>
    <w:rsid w:val="626F35C2"/>
    <w:rsid w:val="62FD0BCE"/>
    <w:rsid w:val="632C3261"/>
    <w:rsid w:val="632E6FDA"/>
    <w:rsid w:val="63770981"/>
    <w:rsid w:val="64202DC6"/>
    <w:rsid w:val="64872E45"/>
    <w:rsid w:val="64E77440"/>
    <w:rsid w:val="65085151"/>
    <w:rsid w:val="653A7EB8"/>
    <w:rsid w:val="65A2399D"/>
    <w:rsid w:val="65BF03BD"/>
    <w:rsid w:val="66C46FD7"/>
    <w:rsid w:val="67EC1211"/>
    <w:rsid w:val="68171BE1"/>
    <w:rsid w:val="684828EC"/>
    <w:rsid w:val="68863414"/>
    <w:rsid w:val="6942558D"/>
    <w:rsid w:val="6953779A"/>
    <w:rsid w:val="69B12712"/>
    <w:rsid w:val="69EE07EF"/>
    <w:rsid w:val="6A3A2708"/>
    <w:rsid w:val="6A727899"/>
    <w:rsid w:val="6A95793E"/>
    <w:rsid w:val="6A9F256B"/>
    <w:rsid w:val="6B040620"/>
    <w:rsid w:val="6BD821D8"/>
    <w:rsid w:val="6BF407AD"/>
    <w:rsid w:val="6C443111"/>
    <w:rsid w:val="6C975BF0"/>
    <w:rsid w:val="6CDA788A"/>
    <w:rsid w:val="6CF831F7"/>
    <w:rsid w:val="6D08089B"/>
    <w:rsid w:val="6D7C6B93"/>
    <w:rsid w:val="6DA87988"/>
    <w:rsid w:val="6DD47201"/>
    <w:rsid w:val="6EA25F07"/>
    <w:rsid w:val="6EA36ACE"/>
    <w:rsid w:val="6ED21161"/>
    <w:rsid w:val="6F3239AE"/>
    <w:rsid w:val="6F675D4D"/>
    <w:rsid w:val="6FE54EC4"/>
    <w:rsid w:val="709C1A26"/>
    <w:rsid w:val="71257C6E"/>
    <w:rsid w:val="718A5D23"/>
    <w:rsid w:val="718D76AF"/>
    <w:rsid w:val="72976FC9"/>
    <w:rsid w:val="72EE470A"/>
    <w:rsid w:val="74654825"/>
    <w:rsid w:val="74DD75B7"/>
    <w:rsid w:val="753D30AC"/>
    <w:rsid w:val="75D94B83"/>
    <w:rsid w:val="76CE66B2"/>
    <w:rsid w:val="76DF08BF"/>
    <w:rsid w:val="77596725"/>
    <w:rsid w:val="77AA41E1"/>
    <w:rsid w:val="785030F6"/>
    <w:rsid w:val="78F85024"/>
    <w:rsid w:val="79020895"/>
    <w:rsid w:val="79556C16"/>
    <w:rsid w:val="796055BB"/>
    <w:rsid w:val="7A635363"/>
    <w:rsid w:val="7A6608EF"/>
    <w:rsid w:val="7BE44282"/>
    <w:rsid w:val="7C2B3C5E"/>
    <w:rsid w:val="7C32323F"/>
    <w:rsid w:val="7C945CA8"/>
    <w:rsid w:val="7CCC3693"/>
    <w:rsid w:val="7D11554A"/>
    <w:rsid w:val="7D1E37C3"/>
    <w:rsid w:val="7E357016"/>
    <w:rsid w:val="7F3379FA"/>
    <w:rsid w:val="7F462C57"/>
    <w:rsid w:val="7F4944A6"/>
    <w:rsid w:val="7F52503B"/>
    <w:rsid w:val="7F7D6EC7"/>
    <w:rsid w:val="7F9B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14"/>
    <w:qFormat/>
    <w:uiPriority w:val="0"/>
    <w:pPr>
      <w:keepNext/>
      <w:keepLines/>
      <w:adjustRightInd w:val="0"/>
      <w:snapToGrid w:val="0"/>
      <w:spacing w:line="300" w:lineRule="auto"/>
      <w:outlineLvl w:val="0"/>
    </w:pPr>
    <w:rPr>
      <w:rFonts w:ascii="宋体" w:cs="宋体"/>
      <w:kern w:val="44"/>
      <w:sz w:val="24"/>
    </w:rPr>
  </w:style>
  <w:style w:type="paragraph" w:styleId="4">
    <w:name w:val="heading 2"/>
    <w:basedOn w:val="1"/>
    <w:next w:val="1"/>
    <w:unhideWhenUsed/>
    <w:qFormat/>
    <w:uiPriority w:val="9"/>
    <w:pPr>
      <w:keepNext/>
      <w:keepLines/>
      <w:ind w:firstLine="0" w:firstLineChars="0"/>
      <w:outlineLvl w:val="1"/>
    </w:pPr>
    <w:rPr>
      <w:rFonts w:hAnsi="Cambria" w:cs="Times New Roman"/>
      <w:b/>
      <w:bCs/>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99"/>
    <w:pPr>
      <w:spacing w:before="120"/>
    </w:pPr>
    <w:rPr>
      <w:rFonts w:ascii="Arial" w:hAnsi="Arial" w:cs="Arial"/>
    </w:rPr>
  </w:style>
  <w:style w:type="paragraph" w:styleId="5">
    <w:name w:val="footer"/>
    <w:basedOn w:val="1"/>
    <w:link w:val="12"/>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oc 1"/>
    <w:basedOn w:val="1"/>
    <w:next w:val="1"/>
    <w:qFormat/>
    <w:uiPriority w:val="39"/>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semiHidden/>
    <w:qFormat/>
    <w:uiPriority w:val="99"/>
    <w:rPr>
      <w:sz w:val="18"/>
      <w:szCs w:val="18"/>
    </w:rPr>
  </w:style>
  <w:style w:type="character" w:customStyle="1" w:styleId="13">
    <w:name w:val="标题 1 Char"/>
    <w:basedOn w:val="10"/>
    <w:link w:val="3"/>
    <w:qFormat/>
    <w:uiPriority w:val="9"/>
    <w:rPr>
      <w:rFonts w:ascii="Times New Roman" w:hAnsi="Times New Roman" w:eastAsia="宋体" w:cs="Times New Roman"/>
      <w:b/>
      <w:bCs/>
      <w:kern w:val="44"/>
      <w:sz w:val="44"/>
      <w:szCs w:val="44"/>
    </w:rPr>
  </w:style>
  <w:style w:type="character" w:customStyle="1" w:styleId="14">
    <w:name w:val="标题 1 Char1"/>
    <w:basedOn w:val="10"/>
    <w:link w:val="3"/>
    <w:qFormat/>
    <w:locked/>
    <w:uiPriority w:val="0"/>
    <w:rPr>
      <w:rFonts w:ascii="宋体" w:hAnsi="Times New Roman" w:eastAsia="宋体" w:cs="宋体"/>
      <w:kern w:val="44"/>
      <w:sz w:val="24"/>
      <w:szCs w:val="20"/>
    </w:rPr>
  </w:style>
  <w:style w:type="paragraph" w:customStyle="1" w:styleId="15">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2033</Words>
  <Characters>2161</Characters>
  <Lines>6</Lines>
  <Paragraphs>1</Paragraphs>
  <TotalTime>4</TotalTime>
  <ScaleCrop>false</ScaleCrop>
  <LinksUpToDate>false</LinksUpToDate>
  <CharactersWithSpaces>2186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2017-07-02T01:11:00Z</dcterms:created>
  <dc:creator>微软用户</dc:creator>
  <cp:lastModifiedBy>秦邦学</cp:lastModifiedBy>
  <cp:lastPrinted>2024-12-28T09:41:45Z</cp:lastPrinted>
  <dcterms:modified xsi:type="dcterms:W3CDTF">2024-12-28T09:42:29Z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95EE1470CE034EA8A4E622A3057E7EA9</vt:lpwstr>
  </property>
</Properties>
</file>