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C8EE9">
      <w:pPr>
        <w:ind w:firstLine="3253" w:firstLineChars="900"/>
        <w:jc w:val="both"/>
        <w:rPr>
          <w:rFonts w:hint="default" w:eastAsia="宋体"/>
          <w:b/>
          <w:sz w:val="32"/>
          <w:szCs w:val="32"/>
          <w:lang w:val="en-US" w:eastAsia="zh-CN"/>
        </w:rPr>
      </w:pPr>
      <w:r>
        <w:rPr>
          <w:rFonts w:hint="eastAsia"/>
          <w:b/>
          <w:sz w:val="36"/>
          <w:szCs w:val="36"/>
        </w:rPr>
        <w:t>会  议  纪  要</w:t>
      </w:r>
      <w:r>
        <w:rPr>
          <w:rFonts w:hint="eastAsia"/>
          <w:b/>
          <w:sz w:val="36"/>
          <w:szCs w:val="36"/>
          <w:lang w:val="en-US" w:eastAsia="zh-CN"/>
        </w:rPr>
        <w:t xml:space="preserve"> </w:t>
      </w:r>
      <w:r>
        <w:rPr>
          <w:rFonts w:hint="eastAsia"/>
          <w:b/>
          <w:sz w:val="32"/>
          <w:szCs w:val="32"/>
          <w:lang w:val="en-US" w:eastAsia="zh-CN"/>
        </w:rPr>
        <w:t xml:space="preserve">           </w:t>
      </w:r>
      <w:r>
        <w:rPr>
          <w:rFonts w:hint="eastAsia"/>
          <w:b w:val="0"/>
          <w:bCs/>
          <w:sz w:val="32"/>
          <w:szCs w:val="32"/>
          <w:lang w:val="en-US" w:eastAsia="zh-CN"/>
        </w:rPr>
        <w:t xml:space="preserve"> </w:t>
      </w:r>
      <w:r>
        <w:rPr>
          <w:rFonts w:hint="eastAsia"/>
          <w:b/>
          <w:sz w:val="32"/>
          <w:szCs w:val="32"/>
          <w:lang w:val="en-US" w:eastAsia="zh-CN"/>
        </w:rPr>
        <w:t xml:space="preserve">                                                                                                                                                                                                                                                                                                                                                                                                                                                                                                 </w:t>
      </w:r>
    </w:p>
    <w:p w14:paraId="47D9462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kern w:val="0"/>
          <w:sz w:val="24"/>
          <w:szCs w:val="24"/>
        </w:rPr>
      </w:pPr>
      <w:r>
        <w:rPr>
          <w:rFonts w:hint="eastAsia" w:ascii="宋体" w:hAnsi="宋体" w:cs="宋体"/>
          <w:sz w:val="24"/>
          <w:szCs w:val="24"/>
        </w:rPr>
        <w:t>工程名称：</w:t>
      </w:r>
      <w:r>
        <w:rPr>
          <w:rFonts w:hint="eastAsia" w:eastAsia="宋体"/>
          <w:kern w:val="21"/>
          <w:sz w:val="24"/>
          <w:szCs w:val="24"/>
          <w:lang w:val="en-US" w:eastAsia="zh-CN"/>
        </w:rPr>
        <w:t xml:space="preserve">高邮市鑫飞新能源有限公司甘垛镇380MW渔光互补光伏发电项目 </w:t>
      </w:r>
      <w:r>
        <w:rPr>
          <w:rFonts w:hint="eastAsia" w:ascii="宋体" w:hAnsi="宋体"/>
          <w:kern w:val="0"/>
          <w:sz w:val="24"/>
          <w:szCs w:val="24"/>
        </w:rPr>
        <w:t xml:space="preserve"> </w:t>
      </w:r>
      <w:r>
        <w:rPr>
          <w:rFonts w:hint="eastAsia"/>
          <w:sz w:val="24"/>
          <w:szCs w:val="24"/>
          <w:lang w:val="en-US" w:eastAsia="zh-CN"/>
        </w:rPr>
        <w:t>签发：</w:t>
      </w:r>
    </w:p>
    <w:p w14:paraId="2338DEEF">
      <w:pPr>
        <w:keepNext w:val="0"/>
        <w:keepLines w:val="0"/>
        <w:pageBreakBefore w:val="0"/>
        <w:widowControl w:val="0"/>
        <w:kinsoku/>
        <w:wordWrap/>
        <w:overflowPunct/>
        <w:topLinePunct w:val="0"/>
        <w:autoSpaceDE/>
        <w:autoSpaceDN/>
        <w:bidi w:val="0"/>
        <w:adjustRightInd/>
        <w:snapToGrid/>
        <w:textAlignment w:val="auto"/>
        <w:rPr>
          <w:rFonts w:hint="eastAsia"/>
          <w:kern w:val="21"/>
          <w:sz w:val="18"/>
          <w:szCs w:val="18"/>
        </w:rPr>
      </w:pPr>
      <w:r>
        <w:rPr>
          <w:rFonts w:hint="eastAsia" w:ascii="宋体" w:hAnsi="宋体"/>
          <w:kern w:val="0"/>
          <w:sz w:val="24"/>
          <w:szCs w:val="24"/>
        </w:rPr>
        <w:t xml:space="preserve">    </w:t>
      </w:r>
      <w:r>
        <w:rPr>
          <w:rFonts w:hint="eastAsia"/>
          <w:kern w:val="21"/>
          <w:sz w:val="24"/>
          <w:szCs w:val="24"/>
        </w:rPr>
        <w:t xml:space="preserve">                               </w:t>
      </w:r>
      <w:r>
        <w:rPr>
          <w:rFonts w:hint="eastAsia"/>
          <w:kern w:val="21"/>
          <w:sz w:val="24"/>
          <w:szCs w:val="24"/>
          <w:lang w:val="en-US" w:eastAsia="zh-CN"/>
        </w:rPr>
        <w:t xml:space="preserve">                            </w:t>
      </w:r>
      <w:r>
        <w:rPr>
          <w:rFonts w:hint="eastAsia" w:ascii="宋体" w:hAnsi="宋体" w:eastAsia="宋体" w:cs="宋体"/>
          <w:sz w:val="24"/>
          <w:szCs w:val="24"/>
          <w:lang w:val="en-US" w:eastAsia="zh-CN"/>
        </w:rPr>
        <w:t>编号：JL-C02-00</w:t>
      </w:r>
      <w:r>
        <w:rPr>
          <w:rFonts w:hint="eastAsia" w:ascii="宋体" w:hAnsi="宋体" w:cs="宋体"/>
          <w:sz w:val="24"/>
          <w:szCs w:val="24"/>
          <w:lang w:val="en-US" w:eastAsia="zh-CN"/>
        </w:rPr>
        <w:t>2</w:t>
      </w:r>
      <w:r>
        <w:rPr>
          <w:rFonts w:hint="eastAsia"/>
          <w:b w:val="0"/>
          <w:bCs w:val="0"/>
          <w:kern w:val="21"/>
          <w:sz w:val="21"/>
          <w:szCs w:val="21"/>
        </w:rPr>
        <w:t xml:space="preserve"> </w:t>
      </w:r>
      <w:r>
        <w:rPr>
          <w:rFonts w:hint="eastAsia"/>
          <w:kern w:val="21"/>
          <w:sz w:val="21"/>
          <w:szCs w:val="21"/>
        </w:rPr>
        <w:t xml:space="preserve">                      </w:t>
      </w:r>
      <w:r>
        <w:rPr>
          <w:rFonts w:hint="eastAsia"/>
          <w:kern w:val="21"/>
          <w:sz w:val="18"/>
          <w:szCs w:val="18"/>
        </w:rPr>
        <w:t xml:space="preserve">      </w:t>
      </w:r>
    </w:p>
    <w:tbl>
      <w:tblPr>
        <w:tblStyle w:val="5"/>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389"/>
        <w:gridCol w:w="3498"/>
        <w:gridCol w:w="509"/>
        <w:gridCol w:w="852"/>
        <w:gridCol w:w="622"/>
        <w:gridCol w:w="2486"/>
      </w:tblGrid>
      <w:tr w14:paraId="6D1F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48" w:type="dxa"/>
            <w:gridSpan w:val="2"/>
            <w:noWrap w:val="0"/>
            <w:vAlign w:val="center"/>
          </w:tcPr>
          <w:p w14:paraId="6AC95B64">
            <w:pPr>
              <w:jc w:val="center"/>
              <w:rPr>
                <w:rFonts w:hint="eastAsia" w:ascii="宋体" w:hAnsi="宋体" w:cs="宋体"/>
                <w:sz w:val="24"/>
              </w:rPr>
            </w:pPr>
            <w:r>
              <w:rPr>
                <w:rFonts w:hint="eastAsia" w:ascii="宋体" w:hAnsi="宋体" w:cs="宋体"/>
                <w:sz w:val="24"/>
              </w:rPr>
              <w:t>会议地点</w:t>
            </w:r>
          </w:p>
        </w:tc>
        <w:tc>
          <w:tcPr>
            <w:tcW w:w="3240" w:type="dxa"/>
            <w:noWrap w:val="0"/>
            <w:vAlign w:val="center"/>
          </w:tcPr>
          <w:p w14:paraId="1202F8C0">
            <w:pPr>
              <w:jc w:val="center"/>
              <w:rPr>
                <w:rFonts w:hint="eastAsia" w:ascii="宋体" w:hAnsi="宋体" w:cs="宋体"/>
                <w:sz w:val="24"/>
              </w:rPr>
            </w:pPr>
            <w:r>
              <w:rPr>
                <w:rFonts w:hint="eastAsia" w:ascii="宋体" w:hAnsi="宋体" w:cs="宋体"/>
                <w:sz w:val="24"/>
              </w:rPr>
              <w:t>项目部会议室</w:t>
            </w:r>
          </w:p>
        </w:tc>
        <w:tc>
          <w:tcPr>
            <w:tcW w:w="1260" w:type="dxa"/>
            <w:gridSpan w:val="2"/>
            <w:noWrap w:val="0"/>
            <w:vAlign w:val="center"/>
          </w:tcPr>
          <w:p w14:paraId="349B69B7">
            <w:pPr>
              <w:jc w:val="center"/>
              <w:rPr>
                <w:rFonts w:hint="eastAsia" w:ascii="宋体" w:hAnsi="宋体" w:cs="宋体"/>
                <w:sz w:val="24"/>
              </w:rPr>
            </w:pPr>
            <w:r>
              <w:rPr>
                <w:rFonts w:hint="eastAsia" w:ascii="宋体" w:hAnsi="宋体" w:cs="宋体"/>
                <w:sz w:val="24"/>
              </w:rPr>
              <w:t>会议时间</w:t>
            </w:r>
          </w:p>
        </w:tc>
        <w:tc>
          <w:tcPr>
            <w:tcW w:w="2879" w:type="dxa"/>
            <w:gridSpan w:val="2"/>
            <w:noWrap w:val="0"/>
            <w:vAlign w:val="center"/>
          </w:tcPr>
          <w:p w14:paraId="73163DF0">
            <w:pPr>
              <w:jc w:val="center"/>
              <w:rPr>
                <w:rFonts w:ascii="宋体" w:hAnsi="宋体" w:cs="宋体"/>
                <w:sz w:val="24"/>
              </w:rPr>
            </w:pPr>
            <w:r>
              <w:rPr>
                <w:rFonts w:hint="eastAsia" w:ascii="宋体" w:hAnsi="宋体" w:cs="宋体"/>
                <w:color w:val="000000"/>
                <w:sz w:val="24"/>
              </w:rPr>
              <w:t>202</w:t>
            </w:r>
            <w:r>
              <w:rPr>
                <w:rFonts w:hint="eastAsia" w:ascii="宋体" w:hAnsi="宋体" w:cs="宋体"/>
                <w:color w:val="000000"/>
                <w:sz w:val="24"/>
                <w:lang w:val="en-US" w:eastAsia="zh-CN"/>
              </w:rPr>
              <w:t>4</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28</w:t>
            </w:r>
            <w:r>
              <w:rPr>
                <w:rFonts w:hint="eastAsia" w:ascii="宋体" w:hAnsi="宋体" w:cs="宋体"/>
                <w:color w:val="000000"/>
                <w:sz w:val="24"/>
              </w:rPr>
              <w:t>日</w:t>
            </w:r>
          </w:p>
        </w:tc>
      </w:tr>
      <w:tr w14:paraId="7880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8" w:type="dxa"/>
            <w:gridSpan w:val="2"/>
            <w:noWrap w:val="0"/>
            <w:vAlign w:val="center"/>
          </w:tcPr>
          <w:p w14:paraId="73EC6546">
            <w:pPr>
              <w:jc w:val="center"/>
              <w:rPr>
                <w:rFonts w:hint="eastAsia" w:ascii="宋体" w:hAnsi="宋体" w:cs="宋体"/>
                <w:sz w:val="24"/>
              </w:rPr>
            </w:pPr>
            <w:r>
              <w:rPr>
                <w:rFonts w:hint="eastAsia" w:ascii="宋体" w:hAnsi="宋体" w:cs="宋体"/>
                <w:sz w:val="24"/>
              </w:rPr>
              <w:t>会议主持人</w:t>
            </w:r>
          </w:p>
        </w:tc>
        <w:tc>
          <w:tcPr>
            <w:tcW w:w="3240" w:type="dxa"/>
            <w:noWrap w:val="0"/>
            <w:vAlign w:val="center"/>
          </w:tcPr>
          <w:p w14:paraId="41EF0D09">
            <w:pPr>
              <w:ind w:firstLine="1200" w:firstLineChars="500"/>
              <w:rPr>
                <w:rFonts w:hint="default" w:ascii="宋体" w:hAnsi="宋体" w:eastAsia="宋体" w:cs="宋体"/>
                <w:sz w:val="24"/>
                <w:lang w:val="en-US" w:eastAsia="zh-CN"/>
              </w:rPr>
            </w:pPr>
            <w:r>
              <w:rPr>
                <w:rFonts w:hint="eastAsia" w:ascii="宋体" w:hAnsi="宋体" w:cs="宋体"/>
                <w:sz w:val="24"/>
                <w:lang w:val="en-US" w:eastAsia="zh-CN"/>
              </w:rPr>
              <w:t xml:space="preserve">高立标 </w:t>
            </w:r>
          </w:p>
        </w:tc>
        <w:tc>
          <w:tcPr>
            <w:tcW w:w="1260" w:type="dxa"/>
            <w:gridSpan w:val="2"/>
            <w:noWrap w:val="0"/>
            <w:vAlign w:val="center"/>
          </w:tcPr>
          <w:p w14:paraId="5DA01097">
            <w:pPr>
              <w:jc w:val="center"/>
              <w:rPr>
                <w:rFonts w:hint="eastAsia" w:ascii="宋体" w:hAnsi="宋体" w:cs="宋体"/>
                <w:kern w:val="0"/>
                <w:sz w:val="24"/>
              </w:rPr>
            </w:pPr>
            <w:r>
              <w:rPr>
                <w:rFonts w:hint="eastAsia" w:ascii="宋体" w:hAnsi="宋体" w:cs="宋体"/>
                <w:kern w:val="0"/>
                <w:sz w:val="24"/>
              </w:rPr>
              <w:t>参会人员</w:t>
            </w:r>
          </w:p>
        </w:tc>
        <w:tc>
          <w:tcPr>
            <w:tcW w:w="2879" w:type="dxa"/>
            <w:gridSpan w:val="2"/>
            <w:noWrap w:val="0"/>
            <w:vAlign w:val="center"/>
          </w:tcPr>
          <w:p w14:paraId="07B1EA62">
            <w:pPr>
              <w:ind w:firstLine="480" w:firstLineChars="200"/>
              <w:jc w:val="both"/>
              <w:rPr>
                <w:rFonts w:hint="default" w:ascii="宋体" w:hAnsi="宋体" w:eastAsia="宋体" w:cs="宋体"/>
                <w:kern w:val="0"/>
                <w:sz w:val="24"/>
                <w:lang w:val="en-US" w:eastAsia="zh-CN"/>
              </w:rPr>
            </w:pPr>
            <w:r>
              <w:rPr>
                <w:rFonts w:hint="eastAsia" w:ascii="宋体" w:hAnsi="宋体" w:cs="宋体"/>
                <w:kern w:val="0"/>
                <w:sz w:val="24"/>
                <w:lang w:val="en-US" w:eastAsia="zh-CN"/>
              </w:rPr>
              <w:t>附件会议签到表</w:t>
            </w:r>
          </w:p>
        </w:tc>
      </w:tr>
      <w:tr w14:paraId="167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927" w:type="dxa"/>
            <w:gridSpan w:val="7"/>
            <w:noWrap w:val="0"/>
            <w:vAlign w:val="center"/>
          </w:tcPr>
          <w:p w14:paraId="769C68A2">
            <w:pPr>
              <w:rPr>
                <w:rFonts w:hint="default" w:ascii="宋体" w:hAnsi="宋体" w:eastAsia="宋体" w:cs="宋体"/>
                <w:sz w:val="24"/>
                <w:lang w:val="en-US" w:eastAsia="zh-CN"/>
              </w:rPr>
            </w:pPr>
            <w:r>
              <w:rPr>
                <w:rFonts w:hint="eastAsia" w:ascii="宋体" w:hAnsi="宋体" w:cs="宋体"/>
                <w:sz w:val="24"/>
              </w:rPr>
              <w:t>会议主题：</w:t>
            </w:r>
            <w:r>
              <w:rPr>
                <w:rFonts w:hint="eastAsia" w:ascii="宋体" w:hAnsi="宋体" w:cs="宋体"/>
                <w:sz w:val="24"/>
                <w:lang w:val="en-US" w:eastAsia="zh-CN"/>
              </w:rPr>
              <w:t>安全、质量、进度</w:t>
            </w:r>
          </w:p>
        </w:tc>
      </w:tr>
      <w:tr w14:paraId="3D18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7" w:type="dxa"/>
            <w:gridSpan w:val="7"/>
            <w:noWrap w:val="0"/>
            <w:vAlign w:val="top"/>
          </w:tcPr>
          <w:p w14:paraId="6CF4A51B">
            <w:pPr>
              <w:pStyle w:val="2"/>
              <w:keepNext w:val="0"/>
              <w:keepLines w:val="0"/>
              <w:pageBreakBefore w:val="0"/>
              <w:kinsoku/>
              <w:wordWrap/>
              <w:overflowPunct/>
              <w:topLinePunct w:val="0"/>
              <w:autoSpaceDE/>
              <w:autoSpaceDN/>
              <w:bidi w:val="0"/>
              <w:adjustRightInd/>
              <w:snapToGrid/>
              <w:spacing w:line="324" w:lineRule="auto"/>
              <w:jc w:val="both"/>
              <w:textAlignment w:val="auto"/>
              <w:rPr>
                <w:rFonts w:hint="eastAsia"/>
                <w:sz w:val="24"/>
                <w:szCs w:val="24"/>
              </w:rPr>
            </w:pPr>
            <w:r>
              <w:rPr>
                <w:rFonts w:hint="eastAsia"/>
                <w:sz w:val="24"/>
                <w:szCs w:val="24"/>
              </w:rPr>
              <w:t>会议内容：</w:t>
            </w:r>
          </w:p>
          <w:p w14:paraId="1447CDC0">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一、施工单位上周项目施工情况</w:t>
            </w:r>
          </w:p>
          <w:p w14:paraId="02B1692F">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1、光伏场区：</w:t>
            </w:r>
          </w:p>
          <w:p w14:paraId="2C350CF0">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（1）打桩1314根；</w:t>
            </w:r>
          </w:p>
          <w:p w14:paraId="2C483A39">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（2）塘口改造：可施工537.8亩；</w:t>
            </w:r>
          </w:p>
          <w:p w14:paraId="661F0409">
            <w:pPr>
              <w:numPr>
                <w:ilvl w:val="0"/>
                <w:numId w:val="0"/>
              </w:numPr>
              <w:spacing w:line="4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2、材料及设备到货情况：</w:t>
            </w:r>
          </w:p>
          <w:p w14:paraId="74F841BF">
            <w:pPr>
              <w:numPr>
                <w:ilvl w:val="0"/>
                <w:numId w:val="0"/>
              </w:numPr>
              <w:spacing w:line="4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（1）管桩2069根；</w:t>
            </w:r>
          </w:p>
          <w:p w14:paraId="67E7D753">
            <w:pPr>
              <w:numPr>
                <w:ilvl w:val="0"/>
                <w:numId w:val="0"/>
              </w:numPr>
              <w:spacing w:line="40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二、本周施工计划：</w:t>
            </w:r>
          </w:p>
          <w:p w14:paraId="15162D97">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1、光伏场区：</w:t>
            </w:r>
          </w:p>
          <w:p w14:paraId="7385B252">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（1）打桩4200根；</w:t>
            </w:r>
          </w:p>
          <w:p w14:paraId="27854BBD">
            <w:pPr>
              <w:pStyle w:val="4"/>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材料及设备到货</w:t>
            </w:r>
            <w:r>
              <w:rPr>
                <w:rFonts w:hint="eastAsia" w:ascii="宋体" w:hAnsi="宋体" w:cs="宋体"/>
                <w:kern w:val="2"/>
                <w:sz w:val="24"/>
                <w:szCs w:val="24"/>
                <w:lang w:val="en-US" w:eastAsia="zh-CN" w:bidi="ar-SA"/>
              </w:rPr>
              <w:t>计划</w:t>
            </w:r>
            <w:r>
              <w:rPr>
                <w:rFonts w:hint="eastAsia" w:ascii="宋体" w:hAnsi="宋体" w:eastAsia="宋体" w:cs="宋体"/>
                <w:kern w:val="2"/>
                <w:sz w:val="24"/>
                <w:szCs w:val="24"/>
                <w:lang w:val="en-US" w:eastAsia="zh-CN" w:bidi="ar-SA"/>
              </w:rPr>
              <w:t>：</w:t>
            </w:r>
          </w:p>
          <w:p w14:paraId="72880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1200" w:firstLineChars="500"/>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lang w:val="en-US" w:eastAsia="zh-CN" w:bidi="ar-SA"/>
              </w:rPr>
              <w:t>/</w:t>
            </w:r>
          </w:p>
          <w:p w14:paraId="5166D8E8">
            <w:pPr>
              <w:pStyle w:val="2"/>
              <w:keepNext w:val="0"/>
              <w:keepLines w:val="0"/>
              <w:pageBreakBefore w:val="0"/>
              <w:numPr>
                <w:ilvl w:val="0"/>
                <w:numId w:val="1"/>
              </w:numPr>
              <w:kinsoku/>
              <w:wordWrap/>
              <w:overflowPunct/>
              <w:topLinePunct w:val="0"/>
              <w:autoSpaceDE/>
              <w:autoSpaceDN/>
              <w:bidi w:val="0"/>
              <w:adjustRightInd/>
              <w:snapToGrid/>
              <w:spacing w:line="324" w:lineRule="auto"/>
              <w:jc w:val="both"/>
              <w:textAlignment w:val="auto"/>
              <w:rPr>
                <w:rFonts w:hint="eastAsia"/>
                <w:b/>
                <w:bCs/>
                <w:sz w:val="24"/>
                <w:szCs w:val="24"/>
                <w:lang w:val="en-US" w:eastAsia="zh-CN"/>
              </w:rPr>
            </w:pPr>
            <w:r>
              <w:rPr>
                <w:rFonts w:hint="eastAsia"/>
                <w:b/>
                <w:bCs/>
                <w:sz w:val="24"/>
                <w:szCs w:val="24"/>
              </w:rPr>
              <w:t>监理</w:t>
            </w:r>
            <w:r>
              <w:rPr>
                <w:rFonts w:hint="eastAsia"/>
                <w:b/>
                <w:bCs/>
                <w:sz w:val="24"/>
                <w:szCs w:val="24"/>
                <w:lang w:val="en-US" w:eastAsia="zh-CN"/>
              </w:rPr>
              <w:t>工作要求：</w:t>
            </w:r>
          </w:p>
          <w:p w14:paraId="621BC34A">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1、施工现场，总包单位必须尽快完成安全横幅和警示标识标牌设置；</w:t>
            </w:r>
          </w:p>
          <w:p w14:paraId="376D8AFC">
            <w:pPr>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2、总包单位对施工作业人员必须严格审核，加强实名制管理，严禁超龄和无保险人员进场；</w:t>
            </w:r>
          </w:p>
          <w:p w14:paraId="019C9CF0">
            <w:pPr>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3、总包单位必须重视安全，不能以包代管，加强施工现场巡视检查及安全管理工作，对于违章行为、不安全因素应及时予以制止，整改完成后方可继续作业；                     </w:t>
            </w:r>
          </w:p>
          <w:p w14:paraId="3AEA9C8D">
            <w:pPr>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4、要求施工单位落实并执行进场人员、材料、机械设备报验制度，对管桩等材料，施工单位自检合格后报监理验收，对未报验进入下一道工序的监理项目部一律不认可；</w:t>
            </w:r>
          </w:p>
          <w:p w14:paraId="6B018DE6">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进度方面：总包单位必须制定1级和2级进度计划，各分包要根据1、2级进度计划的里程碑时间节点制定3、4级进度计划，同时分包单位在3、4级进度计划的基础上，制定日、周、月工作量计划。各级计划要相互对应，切实可行，未达成的计划要在周会上进行情况说明。</w:t>
            </w:r>
          </w:p>
          <w:p w14:paraId="095AECB4">
            <w:pPr>
              <w:numPr>
                <w:ilvl w:val="0"/>
                <w:numId w:val="0"/>
              </w:numPr>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6、资料尽快报审签字，避免后期影响验收等工作；</w:t>
            </w:r>
          </w:p>
          <w:p w14:paraId="64417401">
            <w:pPr>
              <w:numPr>
                <w:ilvl w:val="0"/>
                <w:numId w:val="0"/>
              </w:numPr>
              <w:spacing w:line="4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7、吊装现场没有警示带和警示牌，必须按照规范设置警示带和警示牌，否则将按照相关规定进行考核;</w:t>
            </w:r>
          </w:p>
          <w:p w14:paraId="4728E7FB">
            <w:pPr>
              <w:numPr>
                <w:ilvl w:val="0"/>
                <w:numId w:val="0"/>
              </w:numPr>
              <w:spacing w:line="4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8、总包必须加强交通安全管控，施工道路区域，必须设置交通指示、前方施工区域请绕行等安全警示标识标牌，防止交通事故、车辆伤害事故发生。</w:t>
            </w:r>
          </w:p>
          <w:p w14:paraId="32E23D96">
            <w:pPr>
              <w:pStyle w:val="2"/>
              <w:keepNext w:val="0"/>
              <w:keepLines w:val="0"/>
              <w:pageBreakBefore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b/>
                <w:bCs/>
                <w:sz w:val="24"/>
                <w:szCs w:val="24"/>
                <w:lang w:val="en-US" w:eastAsia="zh-CN"/>
              </w:rPr>
              <w:t>监管单位</w:t>
            </w:r>
            <w:r>
              <w:rPr>
                <w:rFonts w:hint="eastAsia" w:ascii="宋体" w:hAnsi="宋体" w:eastAsia="宋体" w:cs="宋体"/>
                <w:b/>
                <w:bCs/>
                <w:sz w:val="24"/>
                <w:szCs w:val="24"/>
              </w:rPr>
              <w:t>提出的要求</w:t>
            </w:r>
          </w:p>
          <w:p w14:paraId="73B9F115">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确认各分包单位合同是否已签订完成；</w:t>
            </w:r>
          </w:p>
          <w:p w14:paraId="7E11F759">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制定现场管理处罚条例建设单位授权各监理单位对各种违规事项进行处罚；</w:t>
            </w:r>
          </w:p>
          <w:p w14:paraId="4EADD498">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各施工区域设置施工告示牌其内容应明确总包单位、新霖飞、施工班组等相应负责人及联系方式；</w:t>
            </w:r>
          </w:p>
          <w:p w14:paraId="2FB3BA14">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目前现场材料申报存在问题，管桩厂家未及时报审，到场材料未及时报验；</w:t>
            </w:r>
          </w:p>
          <w:p w14:paraId="0B89FB4D">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塘口改造若存在变更，应及时书面上报监理并提供村委同意变更说明；</w:t>
            </w:r>
          </w:p>
          <w:p w14:paraId="6E91B006">
            <w:pPr>
              <w:keepNext w:val="0"/>
              <w:keepLines w:val="0"/>
              <w:pageBreakBefore w:val="0"/>
              <w:widowControl w:val="0"/>
              <w:numPr>
                <w:ilvl w:val="1"/>
                <w:numId w:val="2"/>
              </w:numPr>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宋体" w:hAnsi="宋体"/>
                <w:sz w:val="24"/>
                <w:szCs w:val="24"/>
                <w:lang w:val="en-US" w:eastAsia="zh-CN"/>
              </w:rPr>
            </w:pPr>
            <w:r>
              <w:rPr>
                <w:rFonts w:hint="eastAsia" w:ascii="宋体" w:hAnsi="宋体"/>
                <w:sz w:val="24"/>
                <w:szCs w:val="24"/>
                <w:lang w:val="en-US" w:eastAsia="zh-CN"/>
              </w:rPr>
              <w:t>试桩打桩记录应监理单位盖章确认后检测单位依据打桩记录进行检测并出具报告；</w:t>
            </w:r>
          </w:p>
          <w:p w14:paraId="29179720">
            <w:pPr>
              <w:pStyle w:val="2"/>
              <w:keepNext w:val="0"/>
              <w:keepLines w:val="0"/>
              <w:pageBreakBefore w:val="0"/>
              <w:numPr>
                <w:numId w:val="0"/>
              </w:numPr>
              <w:kinsoku/>
              <w:wordWrap/>
              <w:overflowPunct/>
              <w:topLinePunct w:val="0"/>
              <w:autoSpaceDE/>
              <w:autoSpaceDN/>
              <w:bidi w:val="0"/>
              <w:adjustRightInd/>
              <w:snapToGrid/>
              <w:spacing w:line="480" w:lineRule="auto"/>
              <w:ind w:leftChars="0"/>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建设单位提出的要求</w:t>
            </w:r>
            <w:bookmarkStart w:id="0" w:name="_GoBack"/>
            <w:bookmarkEnd w:id="0"/>
          </w:p>
          <w:p w14:paraId="06DCAAF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1.对已接收塘口进行复核反馈确认；</w:t>
            </w:r>
          </w:p>
          <w:p w14:paraId="116D51D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2.加快当前红线外土地确认情况，尽快组织测绘、地勘进场测绘；</w:t>
            </w:r>
          </w:p>
          <w:p w14:paraId="2C0ABA6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3.加强安全问题落实整改；</w:t>
            </w:r>
          </w:p>
          <w:p w14:paraId="5112636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4.外运土方进场及时上报监理单位、建设单位，并办齐相应手续；</w:t>
            </w:r>
          </w:p>
          <w:p w14:paraId="57B3F13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5.加强材料设备进场报审情况，相应供货厂家应在合同短名单内；</w:t>
            </w:r>
          </w:p>
          <w:p w14:paraId="40B9FFD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宋体" w:hAnsi="宋体"/>
                <w:sz w:val="24"/>
                <w:szCs w:val="24"/>
                <w:lang w:val="en-US" w:eastAsia="zh-CN"/>
              </w:rPr>
            </w:pPr>
            <w:r>
              <w:rPr>
                <w:rFonts w:hint="eastAsia" w:ascii="宋体" w:hAnsi="宋体"/>
                <w:sz w:val="24"/>
                <w:szCs w:val="24"/>
                <w:lang w:val="en-US" w:eastAsia="zh-CN"/>
              </w:rPr>
              <w:t>6.塘口改造若未方案进行，需村委书面同意变更后改造方案；</w:t>
            </w:r>
          </w:p>
          <w:p w14:paraId="2C530DDE">
            <w:pPr>
              <w:pStyle w:val="2"/>
              <w:keepNext w:val="0"/>
              <w:keepLines w:val="0"/>
              <w:pageBreakBefore w:val="0"/>
              <w:numPr>
                <w:ilvl w:val="0"/>
                <w:numId w:val="0"/>
              </w:numPr>
              <w:kinsoku/>
              <w:wordWrap/>
              <w:overflowPunct/>
              <w:topLinePunct w:val="0"/>
              <w:autoSpaceDE/>
              <w:autoSpaceDN/>
              <w:bidi w:val="0"/>
              <w:adjustRightInd/>
              <w:snapToGrid/>
              <w:spacing w:line="480" w:lineRule="auto"/>
              <w:ind w:leftChars="0"/>
              <w:jc w:val="both"/>
              <w:textAlignment w:val="auto"/>
              <w:rPr>
                <w:rFonts w:hint="default"/>
                <w:lang w:val="en-US" w:eastAsia="zh-CN"/>
              </w:rPr>
            </w:pPr>
            <w:r>
              <w:rPr>
                <w:rFonts w:hint="eastAsia" w:ascii="宋体" w:hAnsi="宋体"/>
                <w:sz w:val="24"/>
                <w:szCs w:val="24"/>
                <w:lang w:val="en-US" w:eastAsia="zh-CN"/>
              </w:rPr>
              <w:t>7.加强跟进升压站土地手续情况及集电线路用地情况；</w:t>
            </w:r>
          </w:p>
        </w:tc>
      </w:tr>
      <w:tr w14:paraId="6048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noWrap w:val="0"/>
            <w:vAlign w:val="center"/>
          </w:tcPr>
          <w:p w14:paraId="0458D22C">
            <w:pPr>
              <w:keepNext w:val="0"/>
              <w:keepLines w:val="0"/>
              <w:pageBreakBefore w:val="0"/>
              <w:kinsoku/>
              <w:wordWrap/>
              <w:overflowPunct/>
              <w:topLinePunct w:val="0"/>
              <w:autoSpaceDE/>
              <w:autoSpaceDN/>
              <w:bidi w:val="0"/>
              <w:adjustRightInd/>
              <w:snapToGrid/>
              <w:spacing w:line="324" w:lineRule="auto"/>
              <w:jc w:val="center"/>
              <w:textAlignment w:val="auto"/>
              <w:rPr>
                <w:rFonts w:hint="eastAsia" w:ascii="宋体" w:hAnsi="宋体" w:cs="宋体"/>
                <w:sz w:val="24"/>
              </w:rPr>
            </w:pPr>
            <w:r>
              <w:rPr>
                <w:rFonts w:hint="eastAsia" w:ascii="宋体" w:hAnsi="宋体" w:cs="宋体"/>
                <w:sz w:val="24"/>
              </w:rPr>
              <w:t>主送单位</w:t>
            </w:r>
          </w:p>
        </w:tc>
        <w:tc>
          <w:tcPr>
            <w:tcW w:w="7739" w:type="dxa"/>
            <w:gridSpan w:val="6"/>
            <w:noWrap w:val="0"/>
            <w:vAlign w:val="center"/>
          </w:tcPr>
          <w:p w14:paraId="7D113ACA">
            <w:pPr>
              <w:keepNext w:val="0"/>
              <w:keepLines w:val="0"/>
              <w:pageBreakBefore w:val="0"/>
              <w:kinsoku/>
              <w:wordWrap/>
              <w:overflowPunct/>
              <w:topLinePunct w:val="0"/>
              <w:autoSpaceDE/>
              <w:autoSpaceDN/>
              <w:bidi w:val="0"/>
              <w:adjustRightInd/>
              <w:snapToGrid/>
              <w:spacing w:line="324" w:lineRule="auto"/>
              <w:textAlignment w:val="auto"/>
              <w:rPr>
                <w:rFonts w:hint="eastAsia" w:ascii="宋体" w:hAnsi="宋体" w:cs="宋体"/>
                <w:sz w:val="24"/>
              </w:rPr>
            </w:pPr>
            <w:r>
              <w:rPr>
                <w:rFonts w:hint="eastAsia" w:ascii="宋体" w:hAnsi="宋体" w:eastAsia="宋体" w:cs="宋体"/>
                <w:b w:val="0"/>
                <w:bCs w:val="0"/>
                <w:sz w:val="24"/>
                <w:szCs w:val="24"/>
                <w:lang w:val="en-US" w:eastAsia="zh-CN"/>
              </w:rPr>
              <w:t>信息产业电子第十一设计研究院科技工程股份有限公司</w:t>
            </w:r>
          </w:p>
        </w:tc>
      </w:tr>
      <w:tr w14:paraId="50B7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88" w:type="dxa"/>
            <w:noWrap w:val="0"/>
            <w:vAlign w:val="center"/>
          </w:tcPr>
          <w:p w14:paraId="058260A7">
            <w:pPr>
              <w:keepNext w:val="0"/>
              <w:keepLines w:val="0"/>
              <w:pageBreakBefore w:val="0"/>
              <w:kinsoku/>
              <w:wordWrap/>
              <w:overflowPunct/>
              <w:topLinePunct w:val="0"/>
              <w:autoSpaceDE/>
              <w:autoSpaceDN/>
              <w:bidi w:val="0"/>
              <w:adjustRightInd/>
              <w:snapToGrid/>
              <w:spacing w:line="324" w:lineRule="auto"/>
              <w:jc w:val="center"/>
              <w:textAlignment w:val="auto"/>
              <w:rPr>
                <w:rFonts w:hint="eastAsia" w:ascii="宋体" w:hAnsi="宋体" w:cs="宋体"/>
                <w:sz w:val="24"/>
              </w:rPr>
            </w:pPr>
            <w:r>
              <w:rPr>
                <w:rFonts w:hint="eastAsia" w:ascii="宋体" w:hAnsi="宋体" w:cs="宋体"/>
                <w:sz w:val="24"/>
              </w:rPr>
              <w:t>抄送单位</w:t>
            </w:r>
          </w:p>
        </w:tc>
        <w:tc>
          <w:tcPr>
            <w:tcW w:w="7739" w:type="dxa"/>
            <w:gridSpan w:val="6"/>
            <w:noWrap w:val="0"/>
            <w:vAlign w:val="center"/>
          </w:tcPr>
          <w:p w14:paraId="190B072C">
            <w:pPr>
              <w:spacing w:line="360" w:lineRule="auto"/>
              <w:outlineLvl w:val="0"/>
              <w:rPr>
                <w:rFonts w:hint="eastAsia" w:ascii="宋体" w:hAnsi="宋体" w:cs="宋体"/>
                <w:sz w:val="24"/>
              </w:rPr>
            </w:pPr>
            <w:r>
              <w:rPr>
                <w:rFonts w:hint="eastAsia" w:ascii="宋体" w:hAnsi="宋体" w:eastAsia="宋体" w:cs="宋体"/>
                <w:b w:val="0"/>
                <w:bCs w:val="0"/>
                <w:sz w:val="24"/>
                <w:szCs w:val="24"/>
                <w:lang w:val="en-US" w:eastAsia="zh-CN"/>
              </w:rPr>
              <w:t>高邮市鑫飞新能源有限公司</w:t>
            </w:r>
          </w:p>
        </w:tc>
      </w:tr>
      <w:tr w14:paraId="59CF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88" w:type="dxa"/>
            <w:noWrap w:val="0"/>
            <w:vAlign w:val="center"/>
          </w:tcPr>
          <w:p w14:paraId="0E1255F3">
            <w:pPr>
              <w:keepNext w:val="0"/>
              <w:keepLines w:val="0"/>
              <w:pageBreakBefore w:val="0"/>
              <w:kinsoku/>
              <w:wordWrap/>
              <w:overflowPunct/>
              <w:topLinePunct w:val="0"/>
              <w:autoSpaceDE/>
              <w:autoSpaceDN/>
              <w:bidi w:val="0"/>
              <w:adjustRightInd/>
              <w:snapToGrid/>
              <w:spacing w:line="324" w:lineRule="auto"/>
              <w:jc w:val="center"/>
              <w:textAlignment w:val="auto"/>
              <w:rPr>
                <w:rFonts w:hint="eastAsia" w:ascii="宋体" w:hAnsi="宋体" w:cs="宋体"/>
                <w:sz w:val="24"/>
              </w:rPr>
            </w:pPr>
            <w:r>
              <w:rPr>
                <w:rFonts w:hint="eastAsia" w:ascii="宋体" w:hAnsi="宋体" w:cs="宋体"/>
                <w:sz w:val="24"/>
              </w:rPr>
              <w:t>发文单位</w:t>
            </w:r>
          </w:p>
        </w:tc>
        <w:tc>
          <w:tcPr>
            <w:tcW w:w="4071" w:type="dxa"/>
            <w:gridSpan w:val="3"/>
            <w:noWrap w:val="0"/>
            <w:vAlign w:val="center"/>
          </w:tcPr>
          <w:p w14:paraId="4A15CBAE">
            <w:pPr>
              <w:spacing w:line="360" w:lineRule="auto"/>
              <w:outlineLvl w:val="0"/>
              <w:rPr>
                <w:rFonts w:hint="eastAsia" w:ascii="宋体" w:hAnsi="宋体" w:cs="宋体"/>
                <w:sz w:val="24"/>
              </w:rPr>
            </w:pPr>
            <w:r>
              <w:rPr>
                <w:rFonts w:hint="eastAsia" w:ascii="宋体" w:hAnsi="宋体" w:eastAsia="宋体" w:cs="宋体"/>
                <w:b w:val="0"/>
                <w:bCs w:val="0"/>
                <w:sz w:val="24"/>
                <w:szCs w:val="24"/>
                <w:lang w:val="en-US" w:eastAsia="zh-CN"/>
              </w:rPr>
              <w:t>高邮市鑫飞新能源有限公司甘垛镇380MW渔光互补光伏发电项目</w:t>
            </w:r>
            <w:r>
              <w:rPr>
                <w:rFonts w:hint="eastAsia" w:ascii="宋体" w:hAnsi="宋体"/>
                <w:kern w:val="0"/>
                <w:sz w:val="24"/>
                <w:szCs w:val="24"/>
              </w:rPr>
              <w:t>监理项目部</w:t>
            </w:r>
          </w:p>
        </w:tc>
        <w:tc>
          <w:tcPr>
            <w:tcW w:w="1365" w:type="dxa"/>
            <w:gridSpan w:val="2"/>
            <w:noWrap w:val="0"/>
            <w:vAlign w:val="center"/>
          </w:tcPr>
          <w:p w14:paraId="01091EF3">
            <w:pPr>
              <w:keepNext w:val="0"/>
              <w:keepLines w:val="0"/>
              <w:pageBreakBefore w:val="0"/>
              <w:kinsoku/>
              <w:wordWrap/>
              <w:overflowPunct/>
              <w:topLinePunct w:val="0"/>
              <w:autoSpaceDE/>
              <w:autoSpaceDN/>
              <w:bidi w:val="0"/>
              <w:adjustRightInd/>
              <w:snapToGrid/>
              <w:spacing w:line="324" w:lineRule="auto"/>
              <w:textAlignment w:val="auto"/>
              <w:rPr>
                <w:rFonts w:hint="eastAsia" w:ascii="宋体" w:hAnsi="宋体" w:cs="宋体"/>
                <w:sz w:val="24"/>
              </w:rPr>
            </w:pPr>
            <w:r>
              <w:rPr>
                <w:rFonts w:hint="eastAsia" w:ascii="宋体" w:hAnsi="宋体" w:cs="宋体"/>
                <w:sz w:val="24"/>
              </w:rPr>
              <w:t>发文时间</w:t>
            </w:r>
          </w:p>
        </w:tc>
        <w:tc>
          <w:tcPr>
            <w:tcW w:w="2303" w:type="dxa"/>
            <w:noWrap w:val="0"/>
            <w:vAlign w:val="center"/>
          </w:tcPr>
          <w:p w14:paraId="57A80FEA">
            <w:pPr>
              <w:keepNext w:val="0"/>
              <w:keepLines w:val="0"/>
              <w:pageBreakBefore w:val="0"/>
              <w:kinsoku/>
              <w:wordWrap/>
              <w:overflowPunct/>
              <w:topLinePunct w:val="0"/>
              <w:autoSpaceDE/>
              <w:autoSpaceDN/>
              <w:bidi w:val="0"/>
              <w:adjustRightInd/>
              <w:snapToGrid/>
              <w:spacing w:line="324" w:lineRule="auto"/>
              <w:textAlignment w:val="auto"/>
              <w:rPr>
                <w:rFonts w:hint="eastAsia" w:ascii="宋体" w:hAnsi="宋体" w:cs="宋体"/>
                <w:sz w:val="24"/>
              </w:rPr>
            </w:pPr>
            <w:r>
              <w:rPr>
                <w:rFonts w:hint="eastAsia" w:ascii="宋体" w:hAnsi="宋体" w:cs="宋体"/>
                <w:color w:val="000000"/>
                <w:sz w:val="24"/>
              </w:rPr>
              <w:t>202</w:t>
            </w:r>
            <w:r>
              <w:rPr>
                <w:rFonts w:hint="eastAsia" w:ascii="宋体" w:hAnsi="宋体" w:cs="宋体"/>
                <w:color w:val="000000"/>
                <w:sz w:val="24"/>
                <w:lang w:val="en-US" w:eastAsia="zh-CN"/>
              </w:rPr>
              <w:t>4</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28</w:t>
            </w:r>
            <w:r>
              <w:rPr>
                <w:rFonts w:hint="eastAsia" w:ascii="宋体" w:hAnsi="宋体" w:cs="宋体"/>
                <w:color w:val="000000"/>
                <w:sz w:val="24"/>
              </w:rPr>
              <w:t>日</w:t>
            </w:r>
          </w:p>
        </w:tc>
      </w:tr>
    </w:tbl>
    <w:p w14:paraId="18FB5FE7">
      <w:pPr>
        <w:keepNext w:val="0"/>
        <w:keepLines w:val="0"/>
        <w:pageBreakBefore w:val="0"/>
        <w:kinsoku/>
        <w:wordWrap/>
        <w:overflowPunct/>
        <w:topLinePunct w:val="0"/>
        <w:autoSpaceDE/>
        <w:autoSpaceDN/>
        <w:bidi w:val="0"/>
        <w:adjustRightInd/>
        <w:snapToGrid/>
        <w:spacing w:before="156" w:beforeLines="50" w:line="324" w:lineRule="auto"/>
        <w:textAlignment w:val="auto"/>
        <w:rPr>
          <w:rFonts w:hint="eastAsia"/>
          <w:sz w:val="21"/>
          <w:szCs w:val="21"/>
        </w:rPr>
      </w:pPr>
      <w:r>
        <w:rPr>
          <w:rFonts w:hint="eastAsia" w:ascii="宋体" w:hAnsi="宋体" w:cs="宋体"/>
          <w:sz w:val="21"/>
          <w:szCs w:val="21"/>
        </w:rPr>
        <w:t>注</w:t>
      </w:r>
      <w:r>
        <w:rPr>
          <w:rFonts w:hint="eastAsia" w:ascii="宋体" w:hAnsi="宋体" w:cs="宋体"/>
          <w:sz w:val="21"/>
          <w:szCs w:val="21"/>
          <w:lang w:eastAsia="zh-TW"/>
        </w:rPr>
        <w:t>：</w:t>
      </w:r>
      <w:r>
        <w:rPr>
          <w:rFonts w:hint="eastAsia" w:ascii="宋体" w:hAnsi="宋体" w:cs="宋体"/>
          <w:sz w:val="21"/>
          <w:szCs w:val="21"/>
        </w:rPr>
        <w:t>会议纪要由监理项目部起草，经总监理工程师签发后下发。</w:t>
      </w:r>
    </w:p>
    <w:p w14:paraId="4148BAF8"/>
    <w:p w14:paraId="6E54F27B"/>
    <w:sectPr>
      <w:headerReference r:id="rId3" w:type="default"/>
      <w:pgSz w:w="11906" w:h="16838"/>
      <w:pgMar w:top="1417" w:right="850" w:bottom="85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5AA4">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790DF"/>
    <w:multiLevelType w:val="singleLevel"/>
    <w:tmpl w:val="0EF790DF"/>
    <w:lvl w:ilvl="0" w:tentative="0">
      <w:start w:val="3"/>
      <w:numFmt w:val="chineseCounting"/>
      <w:suff w:val="nothing"/>
      <w:lvlText w:val="%1、"/>
      <w:lvlJc w:val="left"/>
      <w:rPr>
        <w:rFonts w:hint="eastAsia"/>
      </w:rPr>
    </w:lvl>
  </w:abstractNum>
  <w:abstractNum w:abstractNumId="1">
    <w:nsid w:val="67B01A01"/>
    <w:multiLevelType w:val="multilevel"/>
    <w:tmpl w:val="67B01A01"/>
    <w:lvl w:ilvl="0" w:tentative="0">
      <w:start w:val="1"/>
      <w:numFmt w:val="chineseCounting"/>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TdlODMzZDI4ZjhhOTFiMWZmZmNmOTY1YWQyMzQifQ=="/>
  </w:docVars>
  <w:rsids>
    <w:rsidRoot w:val="00000000"/>
    <w:rsid w:val="21294472"/>
    <w:rsid w:val="261B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afterLines="0" w:afterAutospacing="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w:basedOn w:val="2"/>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1178</Words>
  <Characters>1225</Characters>
  <Lines>0</Lines>
  <Paragraphs>0</Paragraphs>
  <TotalTime>0</TotalTime>
  <ScaleCrop>false</ScaleCrop>
  <LinksUpToDate>false</LinksUpToDate>
  <CharactersWithSpaces>1841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2024-11-05T03:19:00Z</dcterms:created>
  <dc:creator>82524</dc:creator>
  <cp:lastModifiedBy>一沙一世界</cp:lastModifiedBy>
  <dcterms:modified xsi:type="dcterms:W3CDTF">2024-11-05T03:39:07Z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884390F00BD54610AA9CF1622B50CCBA_12</vt:lpwstr>
  </property>
</Properties>
</file>