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B44CE">
      <w:pPr>
        <w:rPr>
          <w:rFonts w:ascii="Arial" w:hAnsi="Arial" w:cs="Arial"/>
          <w:b/>
          <w:bCs/>
          <w:sz w:val="24"/>
        </w:rPr>
      </w:pPr>
      <w:r>
        <w:rPr>
          <w:rFonts w:ascii="宋体" w:hAnsi="宋体" w:cs="Arial"/>
          <w:b/>
          <w:bCs/>
          <w:sz w:val="24"/>
        </w:rPr>
        <w:t>表</w:t>
      </w:r>
      <w:r>
        <w:rPr>
          <w:rFonts w:ascii="Arial" w:hAnsi="Arial" w:cs="Arial"/>
          <w:b/>
          <w:bCs/>
          <w:sz w:val="24"/>
        </w:rPr>
        <w:t>A.0.</w:t>
      </w:r>
      <w:r>
        <w:rPr>
          <w:rFonts w:hint="eastAsia" w:ascii="Arial" w:hAnsi="Arial" w:cs="Arial"/>
          <w:b/>
          <w:bCs/>
          <w:sz w:val="24"/>
        </w:rPr>
        <w:t>21</w:t>
      </w:r>
      <w:r>
        <w:rPr>
          <w:rFonts w:ascii="Arial" w:hAnsi="Arial" w:cs="Arial"/>
          <w:b/>
          <w:bCs/>
          <w:sz w:val="24"/>
        </w:rPr>
        <w:t xml:space="preserve">                        </w:t>
      </w:r>
    </w:p>
    <w:p w14:paraId="5ADB66FB">
      <w:pPr>
        <w:jc w:val="center"/>
        <w:rPr>
          <w:rFonts w:ascii="Arial" w:hAnsi="Arial" w:cs="Arial"/>
          <w:b/>
          <w:bCs/>
        </w:rPr>
      </w:pPr>
      <w:r>
        <w:rPr>
          <w:rFonts w:hint="eastAsia" w:ascii="Arial" w:hAnsi="Arial" w:cs="Arial"/>
          <w:b/>
          <w:bCs/>
          <w:sz w:val="24"/>
          <w:lang w:eastAsia="zh-CN"/>
        </w:rPr>
        <w:t>安全专题</w:t>
      </w:r>
      <w:r>
        <w:rPr>
          <w:rFonts w:hint="eastAsia" w:ascii="Arial" w:hAnsi="Arial" w:cs="Arial"/>
          <w:b/>
          <w:bCs/>
          <w:sz w:val="24"/>
        </w:rPr>
        <w:t>会议</w:t>
      </w:r>
      <w:r>
        <w:rPr>
          <w:rFonts w:ascii="宋体" w:hAnsi="宋体" w:cs="Arial"/>
          <w:b/>
          <w:bCs/>
          <w:sz w:val="24"/>
        </w:rPr>
        <w:t>纪要</w:t>
      </w:r>
    </w:p>
    <w:p w14:paraId="2E0A845A">
      <w:pPr>
        <w:jc w:val="left"/>
        <w:rPr>
          <w:rFonts w:ascii="Arial" w:hAnsi="Arial" w:cs="Arial"/>
        </w:rPr>
      </w:pPr>
      <w:r>
        <w:rPr>
          <w:rFonts w:hint="eastAsia" w:ascii="宋体" w:hAnsi="宋体" w:cs="Arial"/>
        </w:rPr>
        <w:t>工程名称：</w:t>
      </w:r>
      <w:r>
        <w:rPr>
          <w:rFonts w:hint="eastAsia" w:ascii="宋体" w:hAnsi="宋体" w:cs="Arial"/>
          <w:lang w:eastAsia="zh-CN"/>
        </w:rPr>
        <w:t>南京国际博览中心展馆屋顶分布式光伏项目</w:t>
      </w:r>
      <w:r>
        <w:rPr>
          <w:rFonts w:ascii="Arial" w:hAnsi="Arial" w:cs="Arial"/>
        </w:rPr>
        <w:t xml:space="preserve">                 </w:t>
      </w:r>
      <w:r>
        <w:rPr>
          <w:rFonts w:hint="eastAsia" w:ascii="宋体" w:hAnsi="宋体" w:cs="Arial"/>
        </w:rPr>
        <w:t>编号：</w:t>
      </w:r>
      <w:r>
        <w:rPr>
          <w:rFonts w:hint="eastAsia" w:ascii="宋体" w:hAnsi="宋体" w:cs="Arial"/>
          <w:lang w:val="en-US" w:eastAsia="zh-CN"/>
        </w:rPr>
        <w:t>CZZH</w:t>
      </w:r>
      <w:r>
        <w:rPr>
          <w:rFonts w:hint="eastAsia" w:ascii="宋体" w:hAnsi="宋体" w:cs="Arial"/>
        </w:rPr>
        <w:t>-</w:t>
      </w:r>
      <w:r>
        <w:rPr>
          <w:rFonts w:hint="eastAsia" w:ascii="宋体" w:hAnsi="宋体" w:cs="Arial"/>
          <w:lang w:val="en-US" w:eastAsia="zh-CN"/>
        </w:rPr>
        <w:t>AQ</w:t>
      </w:r>
      <w:r>
        <w:rPr>
          <w:rFonts w:hint="eastAsia" w:ascii="宋体" w:hAnsi="宋体" w:cs="Arial"/>
        </w:rPr>
        <w:t>-A021-00</w:t>
      </w:r>
      <w:r>
        <w:rPr>
          <w:rFonts w:hint="eastAsia" w:ascii="宋体" w:hAnsi="宋体" w:cs="Arial"/>
          <w:lang w:val="en-US" w:eastAsia="zh-CN"/>
        </w:rPr>
        <w:t>2</w:t>
      </w:r>
      <w:r>
        <w:rPr>
          <w:rFonts w:ascii="宋体" w:hAnsi="宋体" w:cs="Arial"/>
        </w:rPr>
        <w:t xml:space="preserve"> </w:t>
      </w:r>
    </w:p>
    <w:tbl>
      <w:tblPr>
        <w:tblStyle w:val="8"/>
        <w:tblW w:w="4891" w:type="pct"/>
        <w:tblInd w:w="108"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363"/>
        <w:gridCol w:w="2766"/>
        <w:gridCol w:w="173"/>
        <w:gridCol w:w="1176"/>
        <w:gridCol w:w="293"/>
        <w:gridCol w:w="3867"/>
      </w:tblGrid>
      <w:tr w14:paraId="1B4529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707" w:type="pct"/>
            <w:tcBorders>
              <w:top w:val="single" w:color="auto" w:sz="12" w:space="0"/>
              <w:left w:val="single" w:color="auto" w:sz="12" w:space="0"/>
              <w:bottom w:val="single" w:color="auto" w:sz="8" w:space="0"/>
              <w:right w:val="single" w:color="auto" w:sz="8" w:space="0"/>
            </w:tcBorders>
            <w:vAlign w:val="center"/>
          </w:tcPr>
          <w:p w14:paraId="64842A03">
            <w:pPr>
              <w:jc w:val="center"/>
              <w:rPr>
                <w:rFonts w:ascii="Arial" w:hAnsi="Arial" w:cs="Arial"/>
              </w:rPr>
            </w:pPr>
            <w:r>
              <w:rPr>
                <w:rFonts w:ascii="宋体" w:hAnsi="宋体" w:cs="Arial"/>
              </w:rPr>
              <w:t>会议地点</w:t>
            </w:r>
          </w:p>
        </w:tc>
        <w:tc>
          <w:tcPr>
            <w:tcW w:w="1435" w:type="pct"/>
            <w:tcBorders>
              <w:top w:val="single" w:color="auto" w:sz="12" w:space="0"/>
              <w:left w:val="single" w:color="auto" w:sz="8" w:space="0"/>
              <w:bottom w:val="single" w:color="auto" w:sz="8" w:space="0"/>
              <w:right w:val="single" w:color="auto" w:sz="4" w:space="0"/>
            </w:tcBorders>
            <w:vAlign w:val="center"/>
          </w:tcPr>
          <w:p w14:paraId="3D4CB392">
            <w:pPr>
              <w:jc w:val="center"/>
              <w:rPr>
                <w:rFonts w:ascii="Arial" w:hAnsi="Arial" w:cs="Arial"/>
              </w:rPr>
            </w:pPr>
            <w:r>
              <w:rPr>
                <w:rFonts w:hint="eastAsia" w:ascii="宋体" w:hAnsi="宋体" w:cs="Arial"/>
                <w:lang w:eastAsia="zh-CN"/>
              </w:rPr>
              <w:t>南京国际博览中心展馆屋顶分布式光伏项目部</w:t>
            </w:r>
          </w:p>
        </w:tc>
        <w:tc>
          <w:tcPr>
            <w:tcW w:w="700" w:type="pct"/>
            <w:gridSpan w:val="2"/>
            <w:tcBorders>
              <w:top w:val="single" w:color="auto" w:sz="12" w:space="0"/>
              <w:left w:val="nil"/>
              <w:bottom w:val="single" w:color="auto" w:sz="8" w:space="0"/>
              <w:right w:val="single" w:color="auto" w:sz="4" w:space="0"/>
            </w:tcBorders>
            <w:vAlign w:val="center"/>
          </w:tcPr>
          <w:p w14:paraId="4291B2E5">
            <w:pPr>
              <w:jc w:val="center"/>
              <w:rPr>
                <w:rFonts w:ascii="Arial" w:hAnsi="Arial" w:cs="Arial"/>
              </w:rPr>
            </w:pPr>
            <w:r>
              <w:rPr>
                <w:rFonts w:ascii="宋体" w:hAnsi="宋体" w:cs="Arial"/>
              </w:rPr>
              <w:t>会议时间</w:t>
            </w:r>
          </w:p>
        </w:tc>
        <w:tc>
          <w:tcPr>
            <w:tcW w:w="2158" w:type="pct"/>
            <w:gridSpan w:val="2"/>
            <w:tcBorders>
              <w:top w:val="single" w:color="auto" w:sz="12" w:space="0"/>
              <w:left w:val="nil"/>
              <w:bottom w:val="single" w:color="auto" w:sz="8" w:space="0"/>
              <w:right w:val="single" w:color="auto" w:sz="12" w:space="0"/>
            </w:tcBorders>
            <w:vAlign w:val="center"/>
          </w:tcPr>
          <w:p w14:paraId="6A88C046">
            <w:pPr>
              <w:jc w:val="center"/>
              <w:rPr>
                <w:rFonts w:hint="default" w:ascii="Arial" w:hAnsi="Arial" w:eastAsia="宋体" w:cs="Arial"/>
                <w:lang w:val="en-US" w:eastAsia="zh-CN"/>
              </w:rPr>
            </w:pPr>
            <w:r>
              <w:rPr>
                <w:rFonts w:hint="eastAsia" w:ascii="Arial" w:hAnsi="Arial" w:cs="Arial"/>
              </w:rPr>
              <w:t>2024.</w:t>
            </w:r>
            <w:r>
              <w:rPr>
                <w:rFonts w:hint="eastAsia" w:ascii="Arial" w:hAnsi="Arial" w:cs="Arial"/>
                <w:lang w:val="en-US" w:eastAsia="zh-CN"/>
              </w:rPr>
              <w:t>11</w:t>
            </w:r>
            <w:r>
              <w:rPr>
                <w:rFonts w:hint="eastAsia" w:ascii="Arial" w:hAnsi="Arial" w:cs="Arial"/>
              </w:rPr>
              <w:t>.</w:t>
            </w:r>
            <w:r>
              <w:rPr>
                <w:rFonts w:hint="eastAsia" w:ascii="Arial" w:hAnsi="Arial" w:cs="Arial"/>
                <w:lang w:val="en-US" w:eastAsia="zh-CN"/>
              </w:rPr>
              <w:t>14     10.45分</w:t>
            </w:r>
          </w:p>
        </w:tc>
      </w:tr>
      <w:tr w14:paraId="60B7690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707" w:type="pct"/>
            <w:tcBorders>
              <w:top w:val="single" w:color="auto" w:sz="8" w:space="0"/>
              <w:left w:val="single" w:color="auto" w:sz="12" w:space="0"/>
              <w:bottom w:val="single" w:color="auto" w:sz="8" w:space="0"/>
              <w:right w:val="single" w:color="auto" w:sz="8" w:space="0"/>
            </w:tcBorders>
            <w:vAlign w:val="center"/>
          </w:tcPr>
          <w:p w14:paraId="47522471">
            <w:pPr>
              <w:jc w:val="center"/>
              <w:rPr>
                <w:rFonts w:ascii="Arial" w:hAnsi="Arial" w:cs="Arial"/>
              </w:rPr>
            </w:pPr>
            <w:r>
              <w:rPr>
                <w:rFonts w:ascii="宋体" w:hAnsi="宋体" w:cs="Arial"/>
              </w:rPr>
              <w:t>会议主持人</w:t>
            </w:r>
          </w:p>
        </w:tc>
        <w:tc>
          <w:tcPr>
            <w:tcW w:w="4293" w:type="pct"/>
            <w:gridSpan w:val="5"/>
            <w:tcBorders>
              <w:top w:val="single" w:color="auto" w:sz="8" w:space="0"/>
              <w:left w:val="single" w:color="auto" w:sz="8" w:space="0"/>
              <w:bottom w:val="single" w:color="auto" w:sz="8" w:space="0"/>
              <w:right w:val="single" w:color="auto" w:sz="12" w:space="0"/>
            </w:tcBorders>
            <w:vAlign w:val="center"/>
          </w:tcPr>
          <w:p w14:paraId="354CDC97">
            <w:pPr>
              <w:spacing w:line="320" w:lineRule="exact"/>
              <w:jc w:val="center"/>
              <w:rPr>
                <w:rFonts w:hint="eastAsia" w:ascii="Arial" w:hAnsi="Arial" w:eastAsia="宋体" w:cs="Arial"/>
                <w:kern w:val="16"/>
                <w:lang w:eastAsia="zh-CN"/>
              </w:rPr>
            </w:pPr>
            <w:r>
              <w:rPr>
                <w:rFonts w:hint="eastAsia" w:ascii="Arial" w:hAnsi="Arial" w:cs="Arial"/>
                <w:kern w:val="16"/>
                <w:lang w:eastAsia="zh-CN"/>
              </w:rPr>
              <w:t>董正国</w:t>
            </w:r>
          </w:p>
        </w:tc>
      </w:tr>
      <w:tr w14:paraId="1FFA6B3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6" w:hRule="atLeast"/>
        </w:trPr>
        <w:tc>
          <w:tcPr>
            <w:tcW w:w="5000" w:type="pct"/>
            <w:gridSpan w:val="6"/>
            <w:tcBorders>
              <w:top w:val="single" w:color="auto" w:sz="12" w:space="0"/>
              <w:left w:val="single" w:color="auto" w:sz="12" w:space="0"/>
              <w:bottom w:val="single" w:color="auto" w:sz="8" w:space="0"/>
              <w:right w:val="single" w:color="auto" w:sz="12" w:space="0"/>
            </w:tcBorders>
            <w:vAlign w:val="center"/>
          </w:tcPr>
          <w:p w14:paraId="7744A853">
            <w:pPr>
              <w:jc w:val="left"/>
              <w:rPr>
                <w:rFonts w:hint="eastAsia" w:ascii="Arial" w:hAnsi="Arial" w:eastAsia="宋体" w:cs="Arial"/>
                <w:lang w:eastAsia="zh-CN"/>
              </w:rPr>
            </w:pPr>
            <w:r>
              <w:rPr>
                <w:rFonts w:ascii="宋体" w:hAnsi="宋体" w:cs="Arial"/>
              </w:rPr>
              <w:t>会议主题：</w:t>
            </w:r>
            <w:r>
              <w:rPr>
                <w:rFonts w:hint="eastAsia" w:ascii="宋体" w:hAnsi="宋体" w:cs="Arial"/>
                <w:lang w:eastAsia="zh-CN"/>
              </w:rPr>
              <w:t>第一次安全专题会议纪要</w:t>
            </w:r>
          </w:p>
        </w:tc>
      </w:tr>
      <w:tr w14:paraId="2159A06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20" w:hRule="atLeast"/>
        </w:trPr>
        <w:tc>
          <w:tcPr>
            <w:tcW w:w="5000" w:type="pct"/>
            <w:gridSpan w:val="6"/>
            <w:tcBorders>
              <w:top w:val="single" w:color="auto" w:sz="8" w:space="0"/>
              <w:left w:val="single" w:color="auto" w:sz="12" w:space="0"/>
              <w:bottom w:val="single" w:color="auto" w:sz="8" w:space="0"/>
              <w:right w:val="single" w:color="auto" w:sz="12" w:space="0"/>
            </w:tcBorders>
          </w:tcPr>
          <w:p w14:paraId="64F1035C">
            <w:pPr>
              <w:spacing w:line="480" w:lineRule="exact"/>
              <w:jc w:val="left"/>
              <w:rPr>
                <w:rFonts w:ascii="宋体" w:hAnsi="宋体" w:cs="Arial"/>
              </w:rPr>
            </w:pPr>
            <w:r>
              <w:rPr>
                <w:rFonts w:ascii="宋体" w:hAnsi="宋体" w:cs="Arial"/>
              </w:rPr>
              <w:t>会议内容：</w:t>
            </w:r>
          </w:p>
          <w:p w14:paraId="0D1AD876">
            <w:pPr>
              <w:spacing w:line="480" w:lineRule="exact"/>
              <w:ind w:firstLine="420" w:firstLineChars="200"/>
              <w:jc w:val="left"/>
              <w:rPr>
                <w:rFonts w:hint="eastAsia" w:ascii="宋体" w:hAnsi="宋体" w:eastAsia="宋体" w:cs="Arial"/>
                <w:lang w:eastAsia="zh-CN"/>
              </w:rPr>
            </w:pPr>
            <w:r>
              <w:rPr>
                <w:rFonts w:hint="eastAsia" w:ascii="宋体" w:hAnsi="宋体" w:cs="Arial"/>
              </w:rPr>
              <w:t>2024 年</w:t>
            </w:r>
            <w:r>
              <w:rPr>
                <w:rFonts w:hint="eastAsia" w:ascii="宋体" w:hAnsi="宋体" w:cs="Arial"/>
                <w:lang w:val="en-US" w:eastAsia="zh-CN"/>
              </w:rPr>
              <w:t>11</w:t>
            </w:r>
            <w:r>
              <w:rPr>
                <w:rFonts w:hint="eastAsia" w:ascii="宋体" w:hAnsi="宋体" w:cs="Arial"/>
              </w:rPr>
              <w:t>月</w:t>
            </w:r>
            <w:r>
              <w:rPr>
                <w:rFonts w:hint="eastAsia" w:ascii="宋体" w:hAnsi="宋体" w:cs="Arial"/>
                <w:lang w:val="en-US" w:eastAsia="zh-CN"/>
              </w:rPr>
              <w:t>14</w:t>
            </w:r>
            <w:r>
              <w:rPr>
                <w:rFonts w:hint="eastAsia" w:ascii="宋体" w:hAnsi="宋体" w:cs="Arial"/>
              </w:rPr>
              <w:t>日，由</w:t>
            </w:r>
            <w:r>
              <w:rPr>
                <w:rFonts w:hint="eastAsia" w:ascii="宋体" w:hAnsi="宋体" w:cs="Arial"/>
                <w:lang w:eastAsia="zh-CN"/>
              </w:rPr>
              <w:t>南京国际博览中心展馆屋顶分布式光伏项目代建单位董正国</w:t>
            </w:r>
            <w:r>
              <w:rPr>
                <w:rFonts w:hint="eastAsia" w:ascii="宋体" w:hAnsi="宋体" w:cs="Arial"/>
              </w:rPr>
              <w:t>主持组织召开</w:t>
            </w:r>
            <w:r>
              <w:rPr>
                <w:rFonts w:hint="eastAsia" w:ascii="宋体" w:hAnsi="宋体" w:cs="Arial"/>
                <w:lang w:eastAsia="zh-CN"/>
              </w:rPr>
              <w:t>南京国际博览中心展馆屋顶分布式光伏项目安全专题</w:t>
            </w:r>
            <w:r>
              <w:rPr>
                <w:rFonts w:hint="eastAsia" w:ascii="宋体" w:hAnsi="宋体" w:cs="Arial"/>
              </w:rPr>
              <w:t>例会</w:t>
            </w:r>
            <w:r>
              <w:rPr>
                <w:rFonts w:hint="eastAsia" w:ascii="宋体" w:hAnsi="宋体" w:cs="Arial"/>
                <w:lang w:eastAsia="zh-CN"/>
              </w:rPr>
              <w:t>。</w:t>
            </w:r>
          </w:p>
          <w:p w14:paraId="59EED9E4">
            <w:pPr>
              <w:numPr>
                <w:ilvl w:val="0"/>
                <w:numId w:val="1"/>
              </w:numPr>
              <w:spacing w:line="480" w:lineRule="exact"/>
              <w:jc w:val="left"/>
              <w:rPr>
                <w:rFonts w:hint="eastAsia" w:ascii="宋体" w:hAnsi="宋体" w:cs="Arial"/>
                <w:b/>
                <w:bCs/>
              </w:rPr>
            </w:pPr>
            <w:r>
              <w:rPr>
                <w:rFonts w:hint="eastAsia" w:ascii="宋体" w:hAnsi="宋体" w:cs="Arial"/>
                <w:b/>
                <w:bCs/>
                <w:lang w:eastAsia="zh-CN"/>
              </w:rPr>
              <w:t>代建</w:t>
            </w:r>
            <w:r>
              <w:rPr>
                <w:rFonts w:hint="eastAsia" w:ascii="宋体" w:hAnsi="宋体" w:cs="Arial"/>
                <w:b/>
                <w:bCs/>
              </w:rPr>
              <w:t>单位</w:t>
            </w:r>
            <w:r>
              <w:rPr>
                <w:rFonts w:hint="eastAsia" w:ascii="宋体" w:hAnsi="宋体" w:cs="Arial"/>
                <w:b/>
                <w:bCs/>
                <w:lang w:eastAsia="zh-CN"/>
              </w:rPr>
              <w:t>安全专题精简内容</w:t>
            </w:r>
            <w:r>
              <w:rPr>
                <w:rFonts w:hint="eastAsia" w:ascii="宋体" w:hAnsi="宋体" w:cs="Arial"/>
                <w:b/>
                <w:bCs/>
              </w:rPr>
              <w:t>：</w:t>
            </w:r>
          </w:p>
          <w:p w14:paraId="1AC69325">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cs="Arial"/>
                <w:b w:val="0"/>
                <w:bCs w:val="0"/>
                <w:kern w:val="2"/>
                <w:sz w:val="21"/>
                <w:szCs w:val="24"/>
                <w:lang w:val="en-US" w:eastAsia="zh-CN" w:bidi="ar-SA"/>
              </w:rPr>
              <w:t>1.</w:t>
            </w:r>
            <w:r>
              <w:rPr>
                <w:rFonts w:hint="eastAsia" w:ascii="宋体" w:hAnsi="宋体" w:eastAsia="宋体" w:cs="Arial"/>
                <w:b w:val="0"/>
                <w:bCs w:val="0"/>
                <w:kern w:val="2"/>
                <w:sz w:val="21"/>
                <w:szCs w:val="24"/>
                <w:lang w:val="en-US" w:eastAsia="zh-CN" w:bidi="ar-SA"/>
              </w:rPr>
              <w:t>车辆驾驶员管理：驾驶员必须经过严格培训，并持有有关部门核发的厂内机动车驾驶证或车辆驾驶执照上岗。此外，还需建立班组周安全活动日制度，强化驾驶员遵章守纪、职业道德规范教育</w:t>
            </w:r>
          </w:p>
          <w:p w14:paraId="7259616C">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cs="Arial"/>
                <w:b w:val="0"/>
                <w:bCs w:val="0"/>
                <w:kern w:val="2"/>
                <w:sz w:val="21"/>
                <w:szCs w:val="24"/>
                <w:lang w:val="en-US" w:eastAsia="zh-CN" w:bidi="ar-SA"/>
              </w:rPr>
              <w:t>2.</w:t>
            </w:r>
            <w:r>
              <w:rPr>
                <w:rFonts w:hint="eastAsia" w:ascii="宋体" w:hAnsi="宋体" w:eastAsia="宋体" w:cs="Arial"/>
                <w:b w:val="0"/>
                <w:bCs w:val="0"/>
                <w:kern w:val="2"/>
                <w:sz w:val="21"/>
                <w:szCs w:val="24"/>
                <w:lang w:val="en-US" w:eastAsia="zh-CN" w:bidi="ar-SA"/>
              </w:rPr>
              <w:t>施工车辆安全管理措施：严禁使用报废车辆，严禁车辆带病出车，严禁超载、超速等违规驾驶。同时，施工现场道路也需要符合一定的安全要求</w:t>
            </w:r>
          </w:p>
          <w:p w14:paraId="76BE3C5F">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cs="Arial"/>
                <w:b w:val="0"/>
                <w:bCs w:val="0"/>
                <w:kern w:val="2"/>
                <w:sz w:val="21"/>
                <w:szCs w:val="24"/>
                <w:lang w:val="en-US" w:eastAsia="zh-CN" w:bidi="ar-SA"/>
              </w:rPr>
              <w:t>3.</w:t>
            </w:r>
            <w:r>
              <w:rPr>
                <w:rFonts w:hint="eastAsia" w:ascii="宋体" w:hAnsi="宋体" w:eastAsia="宋体" w:cs="Arial"/>
                <w:b w:val="0"/>
                <w:bCs w:val="0"/>
                <w:kern w:val="2"/>
                <w:sz w:val="21"/>
                <w:szCs w:val="24"/>
                <w:lang w:val="en-US" w:eastAsia="zh-CN" w:bidi="ar-SA"/>
              </w:rPr>
              <w:t>车辆维修、保养责任制度：驾驶员需定期对车辆进行检查和保养，并做好记录备查</w:t>
            </w:r>
          </w:p>
          <w:p w14:paraId="2B05DCAB">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cs="Arial"/>
                <w:b w:val="0"/>
                <w:bCs w:val="0"/>
                <w:kern w:val="2"/>
                <w:sz w:val="21"/>
                <w:szCs w:val="24"/>
                <w:lang w:val="en-US" w:eastAsia="zh-CN" w:bidi="ar-SA"/>
              </w:rPr>
              <w:t>4.</w:t>
            </w:r>
            <w:r>
              <w:rPr>
                <w:rFonts w:hint="eastAsia" w:ascii="宋体" w:hAnsi="宋体" w:eastAsia="宋体" w:cs="Arial"/>
                <w:b w:val="0"/>
                <w:bCs w:val="0"/>
                <w:kern w:val="2"/>
                <w:sz w:val="21"/>
                <w:szCs w:val="24"/>
                <w:lang w:val="en-US" w:eastAsia="zh-CN" w:bidi="ar-SA"/>
              </w:rPr>
              <w:t>施工现场交通安全管理：施工现场应实现人机分离，确保施工车辆与人员的安全隔离。同时，应合理规划施工车辆、人员和材料的进出路线，减少交叉和冲突，提高交通效率。</w:t>
            </w:r>
          </w:p>
          <w:p w14:paraId="682D48C1">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cs="Arial"/>
                <w:b w:val="0"/>
                <w:bCs w:val="0"/>
                <w:kern w:val="2"/>
                <w:sz w:val="21"/>
                <w:szCs w:val="24"/>
                <w:lang w:val="en-US" w:eastAsia="zh-CN" w:bidi="ar-SA"/>
              </w:rPr>
              <w:t>5.</w:t>
            </w:r>
            <w:r>
              <w:rPr>
                <w:rFonts w:hint="eastAsia" w:ascii="宋体" w:hAnsi="宋体" w:eastAsia="宋体" w:cs="Arial"/>
                <w:b w:val="0"/>
                <w:bCs w:val="0"/>
                <w:kern w:val="2"/>
                <w:sz w:val="21"/>
                <w:szCs w:val="24"/>
                <w:lang w:val="en-US" w:eastAsia="zh-CN" w:bidi="ar-SA"/>
              </w:rPr>
              <w:t>事故应急处理：班组必须配备必要的急救设备和药品，并有专人负责。发生事故时，必须立即报告上级和相关部门，并采取紧急措施</w:t>
            </w:r>
          </w:p>
          <w:p w14:paraId="6B0417DD">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6.施工前总承包单位要确保施工期间施工区域内管线不受破坏而带来安全隐患、工期延后隐患、停工隐患。</w:t>
            </w:r>
          </w:p>
          <w:p w14:paraId="76A2837E">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7.保护范围为本项目南京国际博览中心施工区域内所有管线。</w:t>
            </w:r>
          </w:p>
          <w:p w14:paraId="7CF82CFB">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8.根据南京昱中、南京河西建设、南京国际博览中心馆方提供的有关资料信息判定管线位置走向，不得盲目施工。</w:t>
            </w:r>
          </w:p>
          <w:p w14:paraId="2010323D">
            <w:pPr>
              <w:numPr>
                <w:ilvl w:val="0"/>
                <w:numId w:val="0"/>
              </w:numPr>
              <w:spacing w:line="480" w:lineRule="exact"/>
              <w:jc w:val="left"/>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9.总承包单位做好现场施工交底情况与后期勘测，做好管线是否出现施工区域范围内准备工作，不得破坏、损坏已有管线。</w:t>
            </w:r>
          </w:p>
          <w:p w14:paraId="66C2C873">
            <w:pPr>
              <w:pStyle w:val="2"/>
              <w:ind w:left="0" w:leftChars="0" w:firstLine="0" w:firstLineChars="0"/>
              <w:rPr>
                <w:rFonts w:hint="default"/>
                <w:lang w:val="en-US"/>
              </w:rPr>
            </w:pPr>
          </w:p>
          <w:p w14:paraId="720FFC2A">
            <w:pPr>
              <w:pStyle w:val="2"/>
              <w:rPr>
                <w:rFonts w:hint="eastAsia" w:ascii="宋体" w:hAnsi="宋体" w:cs="Arial"/>
                <w:b/>
                <w:bCs/>
              </w:rPr>
            </w:pPr>
          </w:p>
          <w:p w14:paraId="0D5C61D1">
            <w:pPr>
              <w:pStyle w:val="3"/>
              <w:rPr>
                <w:rFonts w:hint="eastAsia"/>
              </w:rPr>
            </w:pPr>
          </w:p>
          <w:p w14:paraId="2683FE1B">
            <w:pPr>
              <w:numPr>
                <w:ilvl w:val="0"/>
                <w:numId w:val="2"/>
              </w:numPr>
              <w:spacing w:line="480" w:lineRule="exact"/>
              <w:jc w:val="left"/>
              <w:rPr>
                <w:rFonts w:hint="eastAsia"/>
              </w:rPr>
            </w:pPr>
            <w:r>
              <w:rPr>
                <w:rFonts w:hint="eastAsia" w:ascii="宋体" w:hAnsi="宋体" w:cs="Arial"/>
                <w:b/>
                <w:bCs/>
              </w:rPr>
              <w:t>监理单位</w:t>
            </w:r>
            <w:r>
              <w:rPr>
                <w:rFonts w:hint="eastAsia" w:ascii="宋体" w:hAnsi="宋体" w:cs="Arial"/>
                <w:b/>
                <w:bCs/>
                <w:lang w:eastAsia="zh-CN"/>
              </w:rPr>
              <w:t>安全专题会精简内容</w:t>
            </w:r>
            <w:r>
              <w:rPr>
                <w:rFonts w:hint="eastAsia" w:ascii="宋体" w:hAnsi="宋体" w:cs="Arial"/>
                <w:b/>
                <w:bCs/>
              </w:rPr>
              <w:t>：</w:t>
            </w:r>
          </w:p>
          <w:p w14:paraId="10313EB6">
            <w:pPr>
              <w:spacing w:line="480" w:lineRule="exact"/>
              <w:jc w:val="left"/>
              <w:rPr>
                <w:rFonts w:hint="eastAsia" w:ascii="宋体" w:hAnsi="宋体" w:eastAsia="宋体" w:cs="Arial"/>
                <w:lang w:eastAsia="zh-CN"/>
              </w:rPr>
            </w:pPr>
            <w:r>
              <w:rPr>
                <w:rFonts w:hint="eastAsia" w:ascii="宋体" w:hAnsi="宋体" w:cs="Arial"/>
              </w:rPr>
              <w:t>1、</w:t>
            </w:r>
            <w:r>
              <w:rPr>
                <w:rFonts w:hint="eastAsia" w:asciiTheme="minorEastAsia" w:hAnsiTheme="minorEastAsia" w:eastAsiaTheme="minorEastAsia"/>
                <w:szCs w:val="21"/>
                <w:lang w:eastAsia="zh-CN"/>
              </w:rPr>
              <w:t>总承包单位加强项目安全、质量管理工作</w:t>
            </w:r>
            <w:r>
              <w:rPr>
                <w:rFonts w:hint="eastAsia" w:ascii="宋体" w:hAnsi="宋体" w:cs="Arial"/>
                <w:lang w:eastAsia="zh-CN"/>
              </w:rPr>
              <w:t>；</w:t>
            </w:r>
          </w:p>
          <w:p w14:paraId="1A9D841C">
            <w:pPr>
              <w:spacing w:line="480" w:lineRule="exact"/>
              <w:jc w:val="left"/>
              <w:rPr>
                <w:rFonts w:ascii="宋体" w:hAnsi="宋体" w:cs="Arial"/>
              </w:rPr>
            </w:pPr>
            <w:r>
              <w:rPr>
                <w:rFonts w:ascii="宋体" w:hAnsi="宋体" w:cs="Arial"/>
              </w:rPr>
              <w:t>2、</w:t>
            </w:r>
            <w:r>
              <w:rPr>
                <w:rFonts w:hint="eastAsia" w:ascii="宋体" w:hAnsi="宋体" w:cs="Arial"/>
                <w:lang w:eastAsia="zh-CN"/>
              </w:rPr>
              <w:t>施工作业区、办公区、材料区做好隔离措施</w:t>
            </w:r>
            <w:r>
              <w:rPr>
                <w:rFonts w:hint="eastAsia" w:ascii="宋体" w:hAnsi="宋体" w:cs="Arial"/>
              </w:rPr>
              <w:t>；</w:t>
            </w:r>
          </w:p>
          <w:p w14:paraId="15561100">
            <w:pPr>
              <w:spacing w:line="480" w:lineRule="exact"/>
              <w:jc w:val="left"/>
              <w:rPr>
                <w:rFonts w:ascii="宋体" w:hAnsi="宋体" w:cs="Arial"/>
              </w:rPr>
            </w:pPr>
            <w:r>
              <w:rPr>
                <w:rFonts w:ascii="宋体" w:hAnsi="宋体" w:cs="Arial"/>
              </w:rPr>
              <w:t>3、</w:t>
            </w:r>
            <w:r>
              <w:rPr>
                <w:rFonts w:hint="eastAsia" w:ascii="宋体" w:hAnsi="宋体" w:cs="Arial"/>
                <w:lang w:eastAsia="zh-CN"/>
              </w:rPr>
              <w:t>总包单位人员针对材料进场、车辆进场、工序及分部分项做好安全技术交底</w:t>
            </w:r>
            <w:r>
              <w:rPr>
                <w:rFonts w:hint="eastAsia" w:ascii="宋体" w:hAnsi="宋体" w:cs="Arial"/>
              </w:rPr>
              <w:t>；</w:t>
            </w:r>
          </w:p>
          <w:p w14:paraId="2459DBC1">
            <w:pPr>
              <w:spacing w:line="480" w:lineRule="exact"/>
              <w:jc w:val="left"/>
              <w:rPr>
                <w:rFonts w:ascii="宋体" w:hAnsi="宋体" w:cs="Arial"/>
              </w:rPr>
            </w:pPr>
            <w:r>
              <w:rPr>
                <w:rFonts w:ascii="宋体" w:hAnsi="宋体" w:cs="Arial"/>
              </w:rPr>
              <w:t>4、</w:t>
            </w:r>
            <w:r>
              <w:rPr>
                <w:rFonts w:hint="eastAsia" w:ascii="宋体" w:hAnsi="宋体" w:cs="Arial"/>
                <w:lang w:eastAsia="zh-CN"/>
              </w:rPr>
              <w:t>旁站提前</w:t>
            </w:r>
            <w:r>
              <w:rPr>
                <w:rFonts w:hint="eastAsia" w:ascii="宋体" w:hAnsi="宋体" w:cs="Arial"/>
                <w:lang w:val="en-US" w:eastAsia="zh-CN"/>
              </w:rPr>
              <w:t>24小时告知监理部</w:t>
            </w:r>
            <w:r>
              <w:rPr>
                <w:rFonts w:hint="eastAsia" w:ascii="宋体" w:hAnsi="宋体" w:cs="Arial"/>
              </w:rPr>
              <w:t>；</w:t>
            </w:r>
          </w:p>
          <w:p w14:paraId="701A0526">
            <w:pPr>
              <w:spacing w:line="480" w:lineRule="exact"/>
              <w:jc w:val="left"/>
              <w:rPr>
                <w:rFonts w:hint="eastAsia" w:ascii="宋体" w:hAnsi="宋体" w:eastAsia="宋体" w:cs="Arial"/>
                <w:lang w:eastAsia="zh-CN"/>
              </w:rPr>
            </w:pPr>
            <w:r>
              <w:rPr>
                <w:rFonts w:ascii="宋体" w:hAnsi="宋体" w:cs="Arial"/>
              </w:rPr>
              <w:t>5、</w:t>
            </w:r>
            <w:r>
              <w:rPr>
                <w:rFonts w:hint="eastAsia" w:ascii="宋体" w:hAnsi="宋体" w:cs="Arial"/>
                <w:lang w:eastAsia="zh-CN"/>
              </w:rPr>
              <w:t>开挖面做好线路交底、安全交底，施工技术交底，避免破坏原有管线；</w:t>
            </w:r>
          </w:p>
          <w:p w14:paraId="3885892B">
            <w:pPr>
              <w:spacing w:line="480" w:lineRule="exact"/>
              <w:jc w:val="left"/>
              <w:rPr>
                <w:rFonts w:ascii="宋体" w:hAnsi="宋体" w:cs="Arial"/>
              </w:rPr>
            </w:pPr>
            <w:r>
              <w:rPr>
                <w:rFonts w:ascii="宋体" w:hAnsi="宋体" w:cs="Arial"/>
              </w:rPr>
              <w:t>6、</w:t>
            </w:r>
            <w:r>
              <w:rPr>
                <w:rFonts w:hint="eastAsia" w:ascii="宋体" w:hAnsi="宋体" w:cs="Arial"/>
                <w:lang w:val="en-US" w:eastAsia="zh-CN"/>
              </w:rPr>
              <w:t>完善临边防护、三级教育、安全措施使用计划</w:t>
            </w:r>
          </w:p>
          <w:p w14:paraId="0450E4F5">
            <w:pPr>
              <w:spacing w:line="480" w:lineRule="exact"/>
              <w:jc w:val="left"/>
              <w:rPr>
                <w:rFonts w:hint="eastAsia" w:ascii="宋体" w:hAnsi="宋体" w:cs="Arial"/>
                <w:lang w:val="en-US" w:eastAsia="zh-CN"/>
              </w:rPr>
            </w:pPr>
            <w:r>
              <w:rPr>
                <w:rFonts w:ascii="宋体" w:hAnsi="宋体" w:cs="Arial"/>
              </w:rPr>
              <w:t>7、</w:t>
            </w:r>
            <w:r>
              <w:rPr>
                <w:rFonts w:hint="eastAsia" w:ascii="宋体" w:hAnsi="宋体" w:cs="Arial"/>
                <w:lang w:val="en-US" w:eastAsia="zh-CN"/>
              </w:rPr>
              <w:t>11.15号第二次监理例会进行加强安全告知</w:t>
            </w:r>
          </w:p>
          <w:p w14:paraId="27201DBD">
            <w:pPr>
              <w:numPr>
                <w:ilvl w:val="0"/>
                <w:numId w:val="3"/>
              </w:numPr>
              <w:spacing w:line="480" w:lineRule="exact"/>
              <w:jc w:val="left"/>
              <w:rPr>
                <w:rFonts w:hint="eastAsia" w:ascii="宋体" w:hAnsi="宋体" w:cs="Arial"/>
                <w:lang w:val="en-US" w:eastAsia="zh-CN"/>
              </w:rPr>
            </w:pPr>
            <w:r>
              <w:rPr>
                <w:rFonts w:hint="eastAsia" w:ascii="宋体" w:hAnsi="宋体" w:cs="Arial"/>
                <w:lang w:val="en-US" w:eastAsia="zh-CN"/>
              </w:rPr>
              <w:t>完善临边防护及临边警示措施</w:t>
            </w:r>
          </w:p>
          <w:p w14:paraId="50AB3BE6">
            <w:pPr>
              <w:numPr>
                <w:numId w:val="0"/>
              </w:numPr>
              <w:spacing w:line="480" w:lineRule="exact"/>
              <w:jc w:val="left"/>
              <w:rPr>
                <w:rFonts w:hint="default" w:ascii="宋体" w:hAnsi="宋体" w:cs="Arial"/>
                <w:lang w:val="en-US" w:eastAsia="zh-CN"/>
              </w:rPr>
            </w:pPr>
            <w:r>
              <w:rPr>
                <w:rFonts w:hint="eastAsia" w:ascii="宋体" w:hAnsi="宋体" w:cs="Arial"/>
                <w:lang w:val="en-US" w:eastAsia="zh-CN"/>
              </w:rPr>
              <w:t>9.</w:t>
            </w:r>
            <w:bookmarkStart w:id="0" w:name="_GoBack"/>
            <w:bookmarkEnd w:id="0"/>
            <w:r>
              <w:rPr>
                <w:rFonts w:hint="eastAsia" w:ascii="宋体" w:hAnsi="宋体" w:cs="Arial"/>
                <w:lang w:val="en-US" w:eastAsia="zh-CN"/>
              </w:rPr>
              <w:t>施工作业前，佩戴好安全帽、安全绳、安全带、正确使用防坠落安全用品</w:t>
            </w:r>
          </w:p>
          <w:p w14:paraId="61DBC58B">
            <w:pPr>
              <w:numPr>
                <w:ilvl w:val="0"/>
                <w:numId w:val="0"/>
              </w:numPr>
              <w:spacing w:line="480" w:lineRule="exact"/>
              <w:jc w:val="left"/>
              <w:rPr>
                <w:rFonts w:hint="default" w:ascii="宋体" w:hAnsi="宋体" w:cs="Arial"/>
                <w:lang w:val="en-US" w:eastAsia="zh-CN"/>
              </w:rPr>
            </w:pPr>
          </w:p>
          <w:p w14:paraId="4A301AAE">
            <w:pPr>
              <w:numPr>
                <w:ilvl w:val="0"/>
                <w:numId w:val="0"/>
              </w:numPr>
              <w:spacing w:line="480" w:lineRule="exact"/>
              <w:jc w:val="left"/>
              <w:rPr>
                <w:rFonts w:hint="eastAsia"/>
              </w:rPr>
            </w:pPr>
          </w:p>
          <w:p w14:paraId="153F270A">
            <w:pPr>
              <w:spacing w:line="480" w:lineRule="exact"/>
              <w:jc w:val="left"/>
              <w:rPr>
                <w:rFonts w:ascii="宋体" w:hAnsi="宋体" w:cs="Arial"/>
                <w:b/>
                <w:bCs/>
              </w:rPr>
            </w:pPr>
            <w:r>
              <w:rPr>
                <w:rFonts w:hint="eastAsia" w:ascii="宋体" w:hAnsi="宋体" w:cs="Arial"/>
                <w:b/>
                <w:bCs/>
              </w:rPr>
              <w:t>三、</w:t>
            </w:r>
            <w:r>
              <w:rPr>
                <w:rFonts w:hint="eastAsia" w:ascii="宋体" w:hAnsi="宋体" w:cs="Arial"/>
                <w:b/>
                <w:bCs/>
                <w:lang w:eastAsia="zh-CN"/>
              </w:rPr>
              <w:t>总包</w:t>
            </w:r>
            <w:r>
              <w:rPr>
                <w:rFonts w:hint="eastAsia" w:ascii="宋体" w:hAnsi="宋体" w:cs="Arial"/>
                <w:b/>
                <w:bCs/>
              </w:rPr>
              <w:t>单位</w:t>
            </w:r>
            <w:r>
              <w:rPr>
                <w:rFonts w:hint="eastAsia" w:ascii="宋体" w:hAnsi="宋体" w:cs="Arial"/>
                <w:b/>
                <w:bCs/>
                <w:lang w:eastAsia="zh-CN"/>
              </w:rPr>
              <w:t>及相关单位安全专题会精简内容</w:t>
            </w:r>
            <w:r>
              <w:rPr>
                <w:rFonts w:hint="eastAsia" w:ascii="宋体" w:hAnsi="宋体" w:cs="Arial"/>
                <w:b/>
                <w:bCs/>
              </w:rPr>
              <w:t>：</w:t>
            </w:r>
          </w:p>
          <w:p w14:paraId="4B709487">
            <w:pPr>
              <w:spacing w:line="480" w:lineRule="exact"/>
              <w:jc w:val="left"/>
              <w:rPr>
                <w:rFonts w:hint="eastAsia" w:ascii="宋体" w:hAnsi="宋体" w:eastAsia="宋体" w:cs="Arial"/>
                <w:lang w:eastAsia="zh-CN"/>
              </w:rPr>
            </w:pPr>
            <w:r>
              <w:rPr>
                <w:rFonts w:hint="eastAsia" w:ascii="宋体" w:hAnsi="宋体" w:cs="Arial"/>
              </w:rPr>
              <w:t>1、</w:t>
            </w:r>
            <w:r>
              <w:rPr>
                <w:rFonts w:hint="eastAsia" w:ascii="宋体" w:hAnsi="宋体" w:cs="Arial"/>
                <w:lang w:eastAsia="zh-CN"/>
              </w:rPr>
              <w:t>我方</w:t>
            </w:r>
            <w:r>
              <w:rPr>
                <w:rFonts w:hint="eastAsia" w:asciiTheme="minorEastAsia" w:hAnsiTheme="minorEastAsia" w:eastAsiaTheme="minorEastAsia"/>
                <w:szCs w:val="21"/>
                <w:lang w:eastAsia="zh-CN"/>
              </w:rPr>
              <w:t>总承包单位落实本次安全专题会议精神今日下午召开安全专题会议拓展会</w:t>
            </w:r>
            <w:r>
              <w:rPr>
                <w:rFonts w:hint="eastAsia" w:ascii="宋体" w:hAnsi="宋体" w:cs="Arial"/>
                <w:lang w:eastAsia="zh-CN"/>
              </w:rPr>
              <w:t>；</w:t>
            </w:r>
          </w:p>
          <w:p w14:paraId="718B3115">
            <w:pPr>
              <w:spacing w:line="480" w:lineRule="exact"/>
              <w:jc w:val="left"/>
              <w:rPr>
                <w:rFonts w:ascii="宋体" w:hAnsi="宋体" w:cs="Arial"/>
              </w:rPr>
            </w:pPr>
            <w:r>
              <w:rPr>
                <w:rFonts w:ascii="宋体" w:hAnsi="宋体" w:cs="Arial"/>
              </w:rPr>
              <w:t>2、</w:t>
            </w:r>
            <w:r>
              <w:rPr>
                <w:rFonts w:hint="eastAsia" w:ascii="宋体" w:hAnsi="宋体" w:cs="Arial"/>
                <w:lang w:eastAsia="zh-CN"/>
              </w:rPr>
              <w:t>尽快落实完成施工作业区、办公区、材料区隔离措施</w:t>
            </w:r>
            <w:r>
              <w:rPr>
                <w:rFonts w:hint="eastAsia" w:ascii="宋体" w:hAnsi="宋体" w:cs="Arial"/>
              </w:rPr>
              <w:t>；</w:t>
            </w:r>
          </w:p>
          <w:p w14:paraId="03E6F2FC">
            <w:pPr>
              <w:spacing w:line="480" w:lineRule="exact"/>
              <w:jc w:val="left"/>
              <w:rPr>
                <w:rFonts w:ascii="宋体" w:hAnsi="宋体" w:cs="Arial"/>
              </w:rPr>
            </w:pPr>
            <w:r>
              <w:rPr>
                <w:rFonts w:ascii="宋体" w:hAnsi="宋体" w:cs="Arial"/>
              </w:rPr>
              <w:t>3、</w:t>
            </w:r>
            <w:r>
              <w:rPr>
                <w:rFonts w:hint="eastAsia" w:ascii="宋体" w:hAnsi="宋体" w:cs="Arial"/>
                <w:lang w:eastAsia="zh-CN"/>
              </w:rPr>
              <w:t>总包单位人员会做好材料进场、车辆进场、工序及分部分项做好安全技术交底</w:t>
            </w:r>
            <w:r>
              <w:rPr>
                <w:rFonts w:hint="eastAsia" w:ascii="宋体" w:hAnsi="宋体" w:cs="Arial"/>
              </w:rPr>
              <w:t>；</w:t>
            </w:r>
          </w:p>
          <w:p w14:paraId="4E0466DE">
            <w:pPr>
              <w:spacing w:line="480" w:lineRule="exact"/>
              <w:jc w:val="left"/>
              <w:rPr>
                <w:rFonts w:ascii="宋体" w:hAnsi="宋体" w:cs="Arial"/>
              </w:rPr>
            </w:pPr>
            <w:r>
              <w:rPr>
                <w:rFonts w:ascii="宋体" w:hAnsi="宋体" w:cs="Arial"/>
              </w:rPr>
              <w:t>4、</w:t>
            </w:r>
            <w:r>
              <w:rPr>
                <w:rFonts w:hint="eastAsia" w:ascii="宋体" w:hAnsi="宋体" w:cs="Arial"/>
                <w:lang w:eastAsia="zh-CN"/>
              </w:rPr>
              <w:t>针对监理部及相关要求我方做好旁站提前</w:t>
            </w:r>
            <w:r>
              <w:rPr>
                <w:rFonts w:hint="eastAsia" w:ascii="宋体" w:hAnsi="宋体" w:cs="Arial"/>
                <w:lang w:val="en-US" w:eastAsia="zh-CN"/>
              </w:rPr>
              <w:t>24小时告知监理部的义务工作</w:t>
            </w:r>
            <w:r>
              <w:rPr>
                <w:rFonts w:hint="eastAsia" w:ascii="宋体" w:hAnsi="宋体" w:cs="Arial"/>
              </w:rPr>
              <w:t>；</w:t>
            </w:r>
          </w:p>
          <w:p w14:paraId="19EB2AC4">
            <w:pPr>
              <w:spacing w:line="480" w:lineRule="exact"/>
              <w:jc w:val="left"/>
              <w:rPr>
                <w:rFonts w:hint="eastAsia" w:ascii="宋体" w:hAnsi="宋体" w:eastAsia="宋体" w:cs="Arial"/>
                <w:lang w:eastAsia="zh-CN"/>
              </w:rPr>
            </w:pPr>
            <w:r>
              <w:rPr>
                <w:rFonts w:ascii="宋体" w:hAnsi="宋体" w:cs="Arial"/>
              </w:rPr>
              <w:t>5、</w:t>
            </w:r>
            <w:r>
              <w:rPr>
                <w:rFonts w:hint="eastAsia" w:ascii="宋体" w:hAnsi="宋体" w:cs="Arial"/>
                <w:lang w:eastAsia="zh-CN"/>
              </w:rPr>
              <w:t>今日下午落实开挖面线路交底、安全交底，施工技术交底，避免破坏原有管线；</w:t>
            </w:r>
          </w:p>
          <w:p w14:paraId="6DD46C0E">
            <w:pPr>
              <w:spacing w:line="480" w:lineRule="exact"/>
              <w:jc w:val="left"/>
              <w:rPr>
                <w:rFonts w:ascii="宋体" w:hAnsi="宋体" w:cs="Arial"/>
              </w:rPr>
            </w:pPr>
            <w:r>
              <w:rPr>
                <w:rFonts w:ascii="宋体" w:hAnsi="宋体" w:cs="Arial"/>
              </w:rPr>
              <w:t>6、</w:t>
            </w:r>
            <w:r>
              <w:rPr>
                <w:rFonts w:hint="eastAsia" w:ascii="宋体" w:hAnsi="宋体" w:cs="Arial"/>
                <w:lang w:val="en-US" w:eastAsia="zh-CN"/>
              </w:rPr>
              <w:t>完善临边防护、三级教育、安全措施使用计划</w:t>
            </w:r>
          </w:p>
          <w:p w14:paraId="1357A265">
            <w:pPr>
              <w:spacing w:line="480" w:lineRule="exact"/>
              <w:jc w:val="left"/>
              <w:rPr>
                <w:rFonts w:hint="eastAsia" w:ascii="宋体" w:hAnsi="宋体" w:cs="Arial"/>
                <w:lang w:val="en-US" w:eastAsia="zh-CN"/>
              </w:rPr>
            </w:pPr>
            <w:r>
              <w:rPr>
                <w:rFonts w:ascii="宋体" w:hAnsi="宋体" w:cs="Arial"/>
              </w:rPr>
              <w:t>7、</w:t>
            </w:r>
            <w:r>
              <w:rPr>
                <w:rFonts w:hint="eastAsia" w:ascii="宋体" w:hAnsi="宋体" w:cs="Arial"/>
                <w:lang w:val="en-US" w:eastAsia="zh-CN"/>
              </w:rPr>
              <w:t>11.15号第二次监理例会进行汇报</w:t>
            </w:r>
          </w:p>
          <w:p w14:paraId="4CFF5AD6">
            <w:pPr>
              <w:numPr>
                <w:ilvl w:val="0"/>
                <w:numId w:val="4"/>
              </w:numPr>
              <w:spacing w:line="480" w:lineRule="exact"/>
              <w:jc w:val="left"/>
              <w:rPr>
                <w:rFonts w:hint="eastAsia" w:ascii="宋体" w:hAnsi="宋体" w:cs="Arial"/>
                <w:lang w:val="en-US" w:eastAsia="zh-CN"/>
              </w:rPr>
            </w:pPr>
            <w:r>
              <w:rPr>
                <w:rFonts w:hint="eastAsia" w:ascii="宋体" w:hAnsi="宋体" w:cs="Arial"/>
                <w:lang w:val="en-US" w:eastAsia="zh-CN"/>
              </w:rPr>
              <w:t>完善临边防护及临边警示措施</w:t>
            </w:r>
          </w:p>
          <w:p w14:paraId="4EA68244">
            <w:pPr>
              <w:numPr>
                <w:ilvl w:val="0"/>
                <w:numId w:val="4"/>
              </w:numPr>
              <w:spacing w:line="480" w:lineRule="exact"/>
              <w:jc w:val="left"/>
              <w:rPr>
                <w:rFonts w:hint="default" w:ascii="宋体" w:hAnsi="宋体" w:cs="Arial"/>
                <w:lang w:val="en-US" w:eastAsia="zh-CN"/>
              </w:rPr>
            </w:pPr>
            <w:r>
              <w:rPr>
                <w:rFonts w:hint="eastAsia" w:ascii="宋体" w:hAnsi="宋体" w:cs="Arial"/>
                <w:lang w:val="en-US" w:eastAsia="zh-CN"/>
              </w:rPr>
              <w:t>施工作业前，做好安全及施工技术交底及佩戴好安全帽、安全绳、安全带、正确使用防坠落安全用品交底义务</w:t>
            </w:r>
          </w:p>
          <w:p w14:paraId="7C179F0E">
            <w:pPr>
              <w:pStyle w:val="12"/>
              <w:numPr>
                <w:ilvl w:val="0"/>
                <w:numId w:val="0"/>
              </w:numPr>
              <w:adjustRightInd w:val="0"/>
              <w:snapToGrid w:val="0"/>
              <w:spacing w:line="480" w:lineRule="exact"/>
              <w:ind w:leftChars="0"/>
              <w:rPr>
                <w:rFonts w:hint="eastAsia" w:asciiTheme="minorEastAsia" w:hAnsiTheme="minorEastAsia" w:eastAsiaTheme="minorEastAsia"/>
                <w:szCs w:val="21"/>
                <w:lang w:eastAsia="zh-CN"/>
              </w:rPr>
            </w:pPr>
          </w:p>
        </w:tc>
      </w:tr>
      <w:tr w14:paraId="4DB990A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75" w:hRule="atLeast"/>
        </w:trPr>
        <w:tc>
          <w:tcPr>
            <w:tcW w:w="5000" w:type="pct"/>
            <w:gridSpan w:val="6"/>
            <w:tcBorders>
              <w:top w:val="single" w:color="auto" w:sz="8" w:space="0"/>
              <w:left w:val="single" w:color="auto" w:sz="12" w:space="0"/>
              <w:bottom w:val="single" w:color="auto" w:sz="8" w:space="0"/>
              <w:right w:val="single" w:color="auto" w:sz="12" w:space="0"/>
            </w:tcBorders>
          </w:tcPr>
          <w:p w14:paraId="066AE400">
            <w:pPr>
              <w:jc w:val="left"/>
              <w:rPr>
                <w:rFonts w:ascii="宋体" w:hAnsi="宋体" w:cs="Arial"/>
              </w:rPr>
            </w:pPr>
            <w:r>
              <w:rPr>
                <w:rFonts w:ascii="宋体" w:hAnsi="宋体" w:cs="Arial"/>
              </w:rPr>
              <w:t>上次会议问题落实情况：</w:t>
            </w:r>
          </w:p>
        </w:tc>
      </w:tr>
      <w:tr w14:paraId="023801C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62EF4526">
            <w:pPr>
              <w:spacing w:line="400" w:lineRule="exact"/>
              <w:jc w:val="center"/>
              <w:rPr>
                <w:rFonts w:ascii="宋体" w:hAnsi="宋体" w:cs="Arial"/>
              </w:rPr>
            </w:pPr>
            <w:r>
              <w:rPr>
                <w:rFonts w:ascii="宋体" w:hAnsi="宋体" w:cs="Arial"/>
              </w:rPr>
              <w:t>主送单位</w:t>
            </w:r>
          </w:p>
        </w:tc>
        <w:tc>
          <w:tcPr>
            <w:tcW w:w="4293" w:type="pct"/>
            <w:gridSpan w:val="5"/>
            <w:tcBorders>
              <w:top w:val="single" w:color="auto" w:sz="8" w:space="0"/>
              <w:left w:val="nil"/>
              <w:bottom w:val="single" w:color="auto" w:sz="8" w:space="0"/>
              <w:right w:val="single" w:color="auto" w:sz="12" w:space="0"/>
            </w:tcBorders>
            <w:vAlign w:val="center"/>
          </w:tcPr>
          <w:p w14:paraId="103CA94F">
            <w:pPr>
              <w:spacing w:line="400" w:lineRule="exact"/>
              <w:jc w:val="center"/>
              <w:rPr>
                <w:rFonts w:ascii="宋体" w:hAnsi="宋体" w:cs="Arial"/>
              </w:rPr>
            </w:pPr>
            <w:r>
              <w:rPr>
                <w:rFonts w:hint="eastAsia" w:ascii="宋体" w:hAnsi="宋体" w:cs="Arial"/>
                <w:lang w:eastAsia="zh-CN"/>
              </w:rPr>
              <w:t>南京昱中新能源科技有限公司</w:t>
            </w:r>
            <w:r>
              <w:rPr>
                <w:rFonts w:hint="eastAsia" w:ascii="宋体" w:hAnsi="宋体" w:cs="Arial"/>
                <w:lang w:val="en-US" w:eastAsia="zh-CN"/>
              </w:rPr>
              <w:t xml:space="preserve"> 南京河西新城建设发展有限公司</w:t>
            </w:r>
          </w:p>
        </w:tc>
      </w:tr>
      <w:tr w14:paraId="0424D8C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39A842F3">
            <w:pPr>
              <w:spacing w:line="400" w:lineRule="exact"/>
              <w:jc w:val="center"/>
              <w:rPr>
                <w:rFonts w:ascii="宋体" w:hAnsi="宋体" w:cs="Arial"/>
              </w:rPr>
            </w:pPr>
            <w:r>
              <w:rPr>
                <w:rFonts w:ascii="宋体" w:hAnsi="宋体" w:cs="Arial"/>
              </w:rPr>
              <w:t>抄送单位</w:t>
            </w:r>
          </w:p>
        </w:tc>
        <w:tc>
          <w:tcPr>
            <w:tcW w:w="4293" w:type="pct"/>
            <w:gridSpan w:val="5"/>
            <w:tcBorders>
              <w:top w:val="single" w:color="auto" w:sz="8" w:space="0"/>
              <w:left w:val="nil"/>
              <w:bottom w:val="single" w:color="auto" w:sz="8" w:space="0"/>
              <w:right w:val="single" w:color="auto" w:sz="12" w:space="0"/>
            </w:tcBorders>
            <w:vAlign w:val="center"/>
          </w:tcPr>
          <w:p w14:paraId="071D2519">
            <w:pPr>
              <w:spacing w:line="400" w:lineRule="exact"/>
              <w:jc w:val="center"/>
              <w:rPr>
                <w:rFonts w:ascii="宋体" w:hAnsi="宋体" w:cs="Arial"/>
              </w:rPr>
            </w:pPr>
            <w:r>
              <w:rPr>
                <w:rFonts w:hint="eastAsia" w:ascii="宋体" w:hAnsi="宋体" w:cs="Arial"/>
                <w:lang w:eastAsia="zh-CN"/>
              </w:rPr>
              <w:t>天津奥联新能源有限公司</w:t>
            </w:r>
          </w:p>
        </w:tc>
      </w:tr>
      <w:tr w14:paraId="249D483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149CC93F">
            <w:pPr>
              <w:spacing w:line="400" w:lineRule="exact"/>
              <w:jc w:val="center"/>
              <w:rPr>
                <w:rFonts w:ascii="宋体" w:hAnsi="宋体" w:cs="Arial"/>
              </w:rPr>
            </w:pPr>
            <w:r>
              <w:rPr>
                <w:rFonts w:ascii="宋体" w:hAnsi="宋体" w:cs="Arial"/>
              </w:rPr>
              <w:t>发文单位</w:t>
            </w:r>
          </w:p>
        </w:tc>
        <w:tc>
          <w:tcPr>
            <w:tcW w:w="4293" w:type="pct"/>
            <w:gridSpan w:val="5"/>
            <w:tcBorders>
              <w:top w:val="single" w:color="auto" w:sz="8" w:space="0"/>
              <w:left w:val="nil"/>
              <w:bottom w:val="single" w:color="auto" w:sz="8" w:space="0"/>
              <w:right w:val="single" w:color="auto" w:sz="12" w:space="0"/>
            </w:tcBorders>
            <w:vAlign w:val="center"/>
          </w:tcPr>
          <w:p w14:paraId="5DE13AE5">
            <w:pPr>
              <w:spacing w:line="400" w:lineRule="exact"/>
              <w:jc w:val="center"/>
              <w:rPr>
                <w:rFonts w:ascii="宋体" w:hAnsi="宋体" w:cs="Arial"/>
              </w:rPr>
            </w:pPr>
            <w:r>
              <w:rPr>
                <w:rFonts w:hint="eastAsia" w:ascii="宋体" w:hAnsi="宋体" w:cs="Arial"/>
                <w:lang w:eastAsia="zh-CN"/>
              </w:rPr>
              <w:t>常州正衡电力工程监理有限公司</w:t>
            </w:r>
          </w:p>
        </w:tc>
      </w:tr>
      <w:tr w14:paraId="62B4467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12" w:space="0"/>
              <w:right w:val="single" w:color="auto" w:sz="8" w:space="0"/>
            </w:tcBorders>
          </w:tcPr>
          <w:p w14:paraId="40E77A4F">
            <w:pPr>
              <w:spacing w:line="400" w:lineRule="exact"/>
              <w:jc w:val="center"/>
              <w:rPr>
                <w:rFonts w:ascii="宋体" w:hAnsi="宋体" w:cs="Arial"/>
              </w:rPr>
            </w:pPr>
            <w:r>
              <w:rPr>
                <w:rFonts w:ascii="宋体" w:hAnsi="宋体" w:cs="Arial"/>
              </w:rPr>
              <w:t>签 发</w:t>
            </w:r>
          </w:p>
        </w:tc>
        <w:tc>
          <w:tcPr>
            <w:tcW w:w="1525" w:type="pct"/>
            <w:gridSpan w:val="2"/>
            <w:tcBorders>
              <w:top w:val="single" w:color="auto" w:sz="8" w:space="0"/>
              <w:left w:val="single" w:color="auto" w:sz="8" w:space="0"/>
              <w:bottom w:val="single" w:color="auto" w:sz="12" w:space="0"/>
              <w:right w:val="single" w:color="auto" w:sz="8" w:space="0"/>
            </w:tcBorders>
            <w:vAlign w:val="center"/>
          </w:tcPr>
          <w:p w14:paraId="0B4C01DE">
            <w:pPr>
              <w:spacing w:line="400" w:lineRule="exact"/>
              <w:jc w:val="center"/>
              <w:rPr>
                <w:rFonts w:hint="eastAsia" w:ascii="宋体" w:hAnsi="宋体" w:eastAsia="宋体" w:cs="Arial"/>
                <w:lang w:eastAsia="zh-CN"/>
              </w:rPr>
            </w:pPr>
            <w:r>
              <w:rPr>
                <w:rFonts w:hint="eastAsia" w:ascii="宋体" w:hAnsi="宋体" w:cs="Arial"/>
                <w:lang w:eastAsia="zh-CN"/>
              </w:rPr>
              <w:t>孟飞</w:t>
            </w:r>
          </w:p>
        </w:tc>
        <w:tc>
          <w:tcPr>
            <w:tcW w:w="762" w:type="pct"/>
            <w:gridSpan w:val="2"/>
            <w:tcBorders>
              <w:top w:val="single" w:color="auto" w:sz="8" w:space="0"/>
              <w:left w:val="single" w:color="auto" w:sz="8" w:space="0"/>
              <w:bottom w:val="single" w:color="auto" w:sz="12" w:space="0"/>
              <w:right w:val="single" w:color="auto" w:sz="4" w:space="0"/>
            </w:tcBorders>
            <w:vAlign w:val="center"/>
          </w:tcPr>
          <w:p w14:paraId="7DF05AF7">
            <w:pPr>
              <w:spacing w:line="400" w:lineRule="exact"/>
              <w:jc w:val="center"/>
              <w:rPr>
                <w:rFonts w:ascii="宋体" w:hAnsi="宋体" w:cs="Arial"/>
              </w:rPr>
            </w:pPr>
            <w:r>
              <w:rPr>
                <w:rFonts w:ascii="宋体" w:hAnsi="宋体" w:cs="Arial"/>
              </w:rPr>
              <w:t>整 理</w:t>
            </w:r>
          </w:p>
        </w:tc>
        <w:tc>
          <w:tcPr>
            <w:tcW w:w="2006" w:type="pct"/>
            <w:tcBorders>
              <w:top w:val="single" w:color="auto" w:sz="8" w:space="0"/>
              <w:left w:val="nil"/>
              <w:bottom w:val="single" w:color="auto" w:sz="12" w:space="0"/>
              <w:right w:val="single" w:color="auto" w:sz="12" w:space="0"/>
            </w:tcBorders>
            <w:vAlign w:val="center"/>
          </w:tcPr>
          <w:p w14:paraId="08DEB437">
            <w:pPr>
              <w:spacing w:line="400" w:lineRule="exact"/>
              <w:jc w:val="center"/>
              <w:rPr>
                <w:rFonts w:hint="eastAsia" w:ascii="宋体" w:hAnsi="宋体" w:eastAsia="宋体" w:cs="Arial"/>
                <w:lang w:eastAsia="zh-CN"/>
              </w:rPr>
            </w:pPr>
            <w:r>
              <w:rPr>
                <w:rFonts w:hint="eastAsia" w:ascii="宋体" w:hAnsi="宋体" w:cs="Arial"/>
                <w:lang w:eastAsia="zh-CN"/>
              </w:rPr>
              <w:t>魏树成</w:t>
            </w:r>
          </w:p>
        </w:tc>
      </w:tr>
    </w:tbl>
    <w:p w14:paraId="3900550B"/>
    <w:sectPr>
      <w:pgSz w:w="11906" w:h="16838"/>
      <w:pgMar w:top="1134" w:right="851" w:bottom="1134" w:left="1418"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16596F"/>
    <w:multiLevelType w:val="singleLevel"/>
    <w:tmpl w:val="E116596F"/>
    <w:lvl w:ilvl="0" w:tentative="0">
      <w:start w:val="2"/>
      <w:numFmt w:val="chineseCounting"/>
      <w:suff w:val="nothing"/>
      <w:lvlText w:val="%1、"/>
      <w:lvlJc w:val="left"/>
      <w:rPr>
        <w:rFonts w:hint="eastAsia"/>
      </w:rPr>
    </w:lvl>
  </w:abstractNum>
  <w:abstractNum w:abstractNumId="1">
    <w:nsid w:val="EFCB9BD2"/>
    <w:multiLevelType w:val="singleLevel"/>
    <w:tmpl w:val="EFCB9BD2"/>
    <w:lvl w:ilvl="0" w:tentative="0">
      <w:start w:val="8"/>
      <w:numFmt w:val="decimal"/>
      <w:lvlText w:val="%1."/>
      <w:lvlJc w:val="left"/>
      <w:pPr>
        <w:tabs>
          <w:tab w:val="left" w:pos="312"/>
        </w:tabs>
      </w:pPr>
    </w:lvl>
  </w:abstractNum>
  <w:abstractNum w:abstractNumId="2">
    <w:nsid w:val="425B125F"/>
    <w:multiLevelType w:val="singleLevel"/>
    <w:tmpl w:val="425B125F"/>
    <w:lvl w:ilvl="0" w:tentative="0">
      <w:start w:val="8"/>
      <w:numFmt w:val="decimal"/>
      <w:lvlText w:val="%1."/>
      <w:lvlJc w:val="left"/>
      <w:pPr>
        <w:tabs>
          <w:tab w:val="left" w:pos="312"/>
        </w:tabs>
      </w:pPr>
    </w:lvl>
  </w:abstractNum>
  <w:abstractNum w:abstractNumId="3">
    <w:nsid w:val="728FA7D3"/>
    <w:multiLevelType w:val="singleLevel"/>
    <w:tmpl w:val="728FA7D3"/>
    <w:lvl w:ilvl="0" w:tentative="0">
      <w:start w:val="1"/>
      <w:numFmt w:val="chineseCounting"/>
      <w:suff w:val="nothing"/>
      <w:lvlText w:val="%1、"/>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4N2FkY2E2ZTRiZWIyMDAwNDc4ZWY3OTA3OTkwOWQifQ=="/>
  </w:docVars>
  <w:rsids>
    <w:rsidRoot w:val="7F6D563C"/>
    <w:rsid w:val="004D339F"/>
    <w:rsid w:val="006F0493"/>
    <w:rsid w:val="00C5268E"/>
    <w:rsid w:val="00C71F87"/>
    <w:rsid w:val="00DC4CF8"/>
    <w:rsid w:val="0299608A"/>
    <w:rsid w:val="02C04171"/>
    <w:rsid w:val="04E24A04"/>
    <w:rsid w:val="06BB10EC"/>
    <w:rsid w:val="07DD1355"/>
    <w:rsid w:val="086D2D68"/>
    <w:rsid w:val="10452A20"/>
    <w:rsid w:val="188923C5"/>
    <w:rsid w:val="1DDC5239"/>
    <w:rsid w:val="2341203E"/>
    <w:rsid w:val="26ED0D51"/>
    <w:rsid w:val="2CF3344F"/>
    <w:rsid w:val="34A65F84"/>
    <w:rsid w:val="40912F34"/>
    <w:rsid w:val="45F32DD9"/>
    <w:rsid w:val="4FB97829"/>
    <w:rsid w:val="50436E67"/>
    <w:rsid w:val="52F87C1E"/>
    <w:rsid w:val="536A41E2"/>
    <w:rsid w:val="5556506C"/>
    <w:rsid w:val="58D22D38"/>
    <w:rsid w:val="5DD57434"/>
    <w:rsid w:val="616926D2"/>
    <w:rsid w:val="6D756DBC"/>
    <w:rsid w:val="6DDA02E3"/>
    <w:rsid w:val="6E647D53"/>
    <w:rsid w:val="6E65538C"/>
    <w:rsid w:val="6EBE4BB5"/>
    <w:rsid w:val="737E1108"/>
    <w:rsid w:val="7BE32935"/>
    <w:rsid w:val="7CAB1735"/>
    <w:rsid w:val="7CF25C0D"/>
    <w:rsid w:val="7D4B4788"/>
    <w:rsid w:val="7F6D56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before="78" w:beforeLines="25" w:after="78" w:afterLines="25" w:line="360" w:lineRule="auto"/>
      <w:ind w:firstLine="200" w:firstLineChars="200"/>
      <w:jc w:val="left"/>
    </w:pPr>
    <w:rPr>
      <w:sz w:val="24"/>
    </w:rPr>
  </w:style>
  <w:style w:type="paragraph" w:customStyle="1" w:styleId="3">
    <w:name w:val="_Style 2"/>
    <w:basedOn w:val="1"/>
    <w:next w:val="1"/>
    <w:qFormat/>
    <w:uiPriority w:val="0"/>
    <w:pPr>
      <w:ind w:firstLine="420" w:firstLineChars="200"/>
    </w:pPr>
  </w:style>
  <w:style w:type="paragraph" w:styleId="4">
    <w:name w:val="Body Text Indent"/>
    <w:basedOn w:val="1"/>
    <w:autoRedefine/>
    <w:qFormat/>
    <w:uiPriority w:val="0"/>
    <w:pPr>
      <w:spacing w:after="120"/>
      <w:ind w:left="420" w:leftChars="200"/>
    </w:pPr>
  </w:style>
  <w:style w:type="paragraph" w:styleId="5">
    <w:name w:val="footer"/>
    <w:basedOn w:val="1"/>
    <w:autoRedefine/>
    <w:qFormat/>
    <w:uiPriority w:val="0"/>
    <w:pPr>
      <w:tabs>
        <w:tab w:val="center" w:pos="4153"/>
        <w:tab w:val="right" w:pos="8306"/>
      </w:tabs>
      <w:snapToGrid w:val="0"/>
      <w:jc w:val="left"/>
    </w:pPr>
    <w:rPr>
      <w:sz w:val="18"/>
      <w:szCs w:val="18"/>
    </w:rPr>
  </w:style>
  <w:style w:type="paragraph" w:styleId="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4"/>
    <w:autoRedefine/>
    <w:unhideWhenUsed/>
    <w:qFormat/>
    <w:uiPriority w:val="99"/>
    <w:pPr>
      <w:ind w:firstLine="420" w:firstLineChars="200"/>
    </w:pPr>
  </w:style>
  <w:style w:type="character" w:styleId="10">
    <w:name w:val="page number"/>
    <w:autoRedefine/>
    <w:qFormat/>
    <w:uiPriority w:val="0"/>
  </w:style>
  <w:style w:type="character" w:customStyle="1" w:styleId="11">
    <w:name w:val="UserStyle_0"/>
    <w:autoRedefine/>
    <w:qFormat/>
    <w:uiPriority w:val="0"/>
    <w:rPr>
      <w:rFonts w:ascii="Times New Roman" w:hAnsi="Times New Roman" w:eastAsia="宋体" w:cs="Times New Roman"/>
      <w:kern w:val="2"/>
      <w:sz w:val="21"/>
      <w:szCs w:val="24"/>
      <w:lang w:val="en-US" w:eastAsia="zh-CN" w:bidi="ar-SA"/>
    </w:rPr>
  </w:style>
  <w:style w:type="paragraph" w:styleId="12">
    <w:name w:val="List Paragraph"/>
    <w:basedOn w:val="1"/>
    <w:autoRedefine/>
    <w:qFormat/>
    <w:uiPriority w:val="34"/>
    <w:pPr>
      <w:ind w:firstLine="420" w:firstLineChars="200"/>
    </w:pPr>
  </w:style>
  <w:style w:type="paragraph" w:customStyle="1" w:styleId="13">
    <w:name w:val="Default"/>
    <w:autoRedefine/>
    <w:qFormat/>
    <w:uiPriority w:val="0"/>
    <w:pPr>
      <w:widowControl w:val="0"/>
      <w:autoSpaceDE w:val="0"/>
      <w:autoSpaceDN w:val="0"/>
      <w:adjustRightInd w:val="0"/>
      <w:jc w:val="center"/>
    </w:pPr>
    <w:rPr>
      <w:rFonts w:ascii="Times New Roman" w:hAnsi="Times New Roman" w:eastAsia="宋体" w:cs="Times New Roman"/>
      <w:color w:val="000000"/>
      <w:sz w:val="24"/>
      <w:szCs w:val="24"/>
      <w:lang w:val="en-US" w:eastAsia="zh-CN" w:bidi="ar-SA"/>
    </w:rPr>
  </w:style>
  <w:style w:type="paragraph" w:customStyle="1" w:styleId="14">
    <w:name w:val="Table Paragraph"/>
    <w:basedOn w:val="1"/>
    <w:qFormat/>
    <w:uiPriority w:val="1"/>
    <w:pPr>
      <w:spacing w:before="159"/>
      <w:jc w:val="center"/>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1279</Words>
  <Characters>1336</Characters>
  <Lines>8</Lines>
  <Paragraphs>2</Paragraphs>
  <TotalTime>17</TotalTime>
  <ScaleCrop>false</ScaleCrop>
  <LinksUpToDate>false</LinksUpToDate>
  <CharactersWithSpaces>1387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2023-10-08T07:12:00Z</dcterms:created>
  <dc:creator>继续努力。。。</dc:creator>
  <cp:lastModifiedBy>飞</cp:lastModifiedBy>
  <cp:lastPrinted>2024-01-31T01:17:00Z</cp:lastPrinted>
  <dcterms:modified xsi:type="dcterms:W3CDTF">2024-11-14T05:30:00Z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594DBD9C6072476DB1614C3474ADFE7D_13</vt:lpwstr>
  </property>
</Properties>
</file>