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Default ContentType="image/x-wmf" Extension="wmf"/>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color w:val="FF0000"/>
        </w:rPr>
      </w:pPr>
    </w:p>
    <w:p>
      <w:pPr>
        <w:rPr>
          <w:color w:val="FF0000"/>
        </w:rPr>
      </w:pPr>
    </w:p>
    <w:p>
      <w:pPr>
        <w:rPr>
          <w:color w:val="FF0000"/>
        </w:rPr>
      </w:pPr>
    </w:p>
    <w:p>
      <w:pPr>
        <w:spacing w:before="156" w:beforeLines="50" w:after="156" w:afterLines="50" w:line="480" w:lineRule="auto"/>
        <w:jc w:val="right"/>
        <w:rPr>
          <w:color w:val="000000"/>
          <w:sz w:val="24"/>
          <w:szCs w:val="24"/>
        </w:rPr>
      </w:pPr>
    </w:p>
    <w:p>
      <w:pPr>
        <w:wordWrap w:val="0"/>
        <w:spacing w:before="156" w:beforeLines="50" w:after="156" w:afterLines="50" w:line="480" w:lineRule="auto"/>
        <w:jc w:val="right"/>
        <w:rPr>
          <w:color w:val="000000"/>
          <w:sz w:val="24"/>
          <w:szCs w:val="24"/>
        </w:rPr>
      </w:pPr>
      <w:r>
        <w:rPr>
          <w:rFonts w:hint="eastAsia"/>
          <w:color w:val="000000"/>
          <w:sz w:val="24"/>
          <w:szCs w:val="24"/>
        </w:rPr>
        <w:t xml:space="preserve"> </w:t>
      </w:r>
    </w:p>
    <w:p>
      <w:pPr>
        <w:spacing w:before="936" w:beforeLines="300" w:after="468" w:afterLines="150" w:line="480" w:lineRule="auto"/>
        <w:jc w:val="center"/>
        <w:rPr>
          <w:rFonts w:ascii="黑体" w:hAnsi="黑体" w:eastAsia="黑体"/>
          <w:color w:val="000000"/>
          <w:sz w:val="52"/>
          <w:szCs w:val="52"/>
        </w:rPr>
      </w:pPr>
      <w:r>
        <w:rPr>
          <w:rFonts w:hint="eastAsia" w:ascii="黑体" w:hAnsi="黑体" w:eastAsia="黑体"/>
          <w:color w:val="000000"/>
          <w:sz w:val="52"/>
          <w:szCs w:val="52"/>
        </w:rPr>
        <w:t xml:space="preserve"> </w:t>
      </w:r>
    </w:p>
    <w:p>
      <w:pPr>
        <w:spacing w:before="312" w:beforeLines="100" w:after="468" w:afterLines="150" w:line="480" w:lineRule="auto"/>
        <w:jc w:val="center"/>
        <w:rPr>
          <w:rFonts w:ascii="宋体" w:hAnsi="宋体"/>
          <w:color w:val="000000"/>
          <w:sz w:val="28"/>
          <w:szCs w:val="36"/>
        </w:rPr>
      </w:pPr>
      <w:r>
        <w:rPr>
          <w:rFonts w:hint="eastAsia" w:ascii="宋体" w:hAnsi="宋体"/>
          <w:color w:val="000000"/>
          <w:sz w:val="28"/>
          <w:szCs w:val="36"/>
          <w:lang w:eastAsia="zh-CN"/>
        </w:rPr>
        <w:t>衢州市衢江区光伏电站一期</w:t>
      </w:r>
      <w:r>
        <w:rPr>
          <w:rFonts w:hint="eastAsia" w:ascii="宋体" w:hAnsi="宋体"/>
          <w:color w:val="000000"/>
          <w:sz w:val="28"/>
          <w:szCs w:val="36"/>
          <w:lang w:val="en-US" w:eastAsia="zh-CN"/>
        </w:rPr>
        <w:t>45MWp建设</w:t>
      </w:r>
      <w:r>
        <w:rPr>
          <w:rFonts w:hint="eastAsia" w:ascii="宋体" w:hAnsi="宋体"/>
          <w:color w:val="000000"/>
          <w:sz w:val="28"/>
          <w:szCs w:val="36"/>
        </w:rPr>
        <w:t>项目</w:t>
      </w:r>
    </w:p>
    <w:p>
      <w:pPr>
        <w:spacing w:before="156" w:beforeLines="50" w:after="156" w:afterLines="50"/>
        <w:jc w:val="center"/>
        <w:rPr>
          <w:color w:val="000000"/>
          <w:sz w:val="44"/>
          <w:szCs w:val="30"/>
        </w:rPr>
      </w:pPr>
      <w:r>
        <w:rPr>
          <w:rFonts w:hint="eastAsia"/>
          <w:color w:val="000000"/>
          <w:sz w:val="44"/>
          <w:szCs w:val="30"/>
        </w:rPr>
        <w:t>监 理 初 检 报 告</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color w:val="000000"/>
          <w:sz w:val="28"/>
          <w:szCs w:val="28"/>
        </w:rPr>
      </w:pPr>
      <w:r>
        <w:rPr>
          <w:rFonts w:hint="eastAsia"/>
          <w:sz w:val="28"/>
          <w:szCs w:val="28"/>
        </w:rPr>
        <w:t>常州正衡电力工程监理有限公司</w:t>
      </w:r>
    </w:p>
    <w:p>
      <w:pPr>
        <w:spacing w:line="360" w:lineRule="auto"/>
        <w:jc w:val="center"/>
        <w:rPr>
          <w:color w:val="000000"/>
          <w:sz w:val="28"/>
          <w:szCs w:val="28"/>
        </w:rPr>
      </w:pPr>
      <w:r>
        <w:rPr>
          <w:rFonts w:hint="eastAsia"/>
          <w:sz w:val="28"/>
          <w:szCs w:val="28"/>
          <w:lang w:eastAsia="zh-CN"/>
        </w:rPr>
        <w:t>衢州市衢江区光伏电站一期</w:t>
      </w:r>
      <w:r>
        <w:rPr>
          <w:rFonts w:hint="eastAsia"/>
          <w:sz w:val="28"/>
          <w:szCs w:val="28"/>
          <w:lang w:val="en-US" w:eastAsia="zh-CN"/>
        </w:rPr>
        <w:t>45MWp建设</w:t>
      </w:r>
      <w:r>
        <w:rPr>
          <w:rFonts w:hint="eastAsia"/>
          <w:sz w:val="28"/>
          <w:szCs w:val="28"/>
        </w:rPr>
        <w:t>项目监理部</w:t>
      </w:r>
    </w:p>
    <w:p>
      <w:pPr>
        <w:spacing w:line="360" w:lineRule="auto"/>
        <w:jc w:val="center"/>
        <w:rPr>
          <w:color w:val="000000"/>
          <w:sz w:val="28"/>
          <w:szCs w:val="28"/>
        </w:rPr>
      </w:pPr>
      <w:r>
        <w:rPr>
          <w:color w:val="000000"/>
          <w:sz w:val="28"/>
          <w:szCs w:val="28"/>
        </w:rPr>
        <w:t>201</w:t>
      </w:r>
      <w:r>
        <w:rPr>
          <w:rFonts w:hint="eastAsia"/>
          <w:color w:val="000000"/>
          <w:sz w:val="28"/>
          <w:szCs w:val="28"/>
          <w:lang w:val="en-US" w:eastAsia="zh-CN"/>
        </w:rPr>
        <w:t>5</w:t>
      </w:r>
      <w:r>
        <w:rPr>
          <w:rFonts w:hint="eastAsia"/>
          <w:color w:val="000000"/>
          <w:sz w:val="28"/>
          <w:szCs w:val="28"/>
        </w:rPr>
        <w:t>年</w:t>
      </w:r>
      <w:r>
        <w:rPr>
          <w:rFonts w:hint="eastAsia"/>
          <w:color w:val="000000"/>
          <w:sz w:val="28"/>
          <w:szCs w:val="28"/>
          <w:lang w:val="en-US" w:eastAsia="zh-CN"/>
        </w:rPr>
        <w:t>08</w:t>
      </w:r>
      <w:r>
        <w:rPr>
          <w:rFonts w:hint="eastAsia"/>
          <w:color w:val="000000"/>
          <w:sz w:val="28"/>
          <w:szCs w:val="28"/>
        </w:rPr>
        <w:t>月</w:t>
      </w:r>
    </w:p>
    <w:p>
      <w:pPr>
        <w:widowControl/>
        <w:jc w:val="left"/>
        <w:rPr>
          <w:color w:val="000000"/>
          <w:sz w:val="28"/>
          <w:szCs w:val="28"/>
        </w:rPr>
      </w:pPr>
      <w:r>
        <w:rPr>
          <w:color w:val="000000"/>
          <w:sz w:val="28"/>
          <w:szCs w:val="28"/>
        </w:rPr>
        <w:br w:type="page"/>
      </w:r>
    </w:p>
    <w:tbl>
      <w:tblPr>
        <w:tblStyle w:val="8"/>
        <w:tblW w:w="9500"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8"/>
        <w:gridCol w:w="567"/>
        <w:gridCol w:w="2835"/>
        <w:gridCol w:w="851"/>
        <w:gridCol w:w="1417"/>
        <w:gridCol w:w="142"/>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500" w:type="dxa"/>
            <w:gridSpan w:val="9"/>
            <w:vAlign w:val="top"/>
          </w:tcPr>
          <w:p>
            <w:pPr>
              <w:widowControl/>
              <w:jc w:val="center"/>
              <w:rPr>
                <w:b/>
                <w:color w:val="000000"/>
                <w:sz w:val="28"/>
                <w:szCs w:val="28"/>
              </w:rPr>
            </w:pPr>
            <w:r>
              <w:rPr>
                <w:rFonts w:hint="eastAsia"/>
                <w:b/>
                <w:color w:val="000000"/>
                <w:sz w:val="28"/>
                <w:szCs w:val="28"/>
              </w:rPr>
              <w:t>一、检验概况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500" w:type="dxa"/>
            <w:gridSpan w:val="9"/>
            <w:vAlign w:val="top"/>
          </w:tcPr>
          <w:p>
            <w:pPr>
              <w:widowControl/>
              <w:jc w:val="left"/>
              <w:rPr>
                <w:color w:val="000000"/>
                <w:sz w:val="28"/>
                <w:szCs w:val="28"/>
              </w:rPr>
            </w:pPr>
            <w:r>
              <w:rPr>
                <w:rFonts w:hint="eastAsia"/>
                <w:color w:val="000000"/>
                <w:sz w:val="28"/>
                <w:szCs w:val="28"/>
              </w:rPr>
              <w:t>工程名称：</w:t>
            </w:r>
            <w:r>
              <w:rPr>
                <w:rFonts w:hint="eastAsia"/>
                <w:sz w:val="28"/>
                <w:szCs w:val="28"/>
                <w:lang w:eastAsia="zh-CN"/>
              </w:rPr>
              <w:t>衢州市衢江区光伏电站一期</w:t>
            </w:r>
            <w:r>
              <w:rPr>
                <w:rFonts w:hint="eastAsia"/>
                <w:sz w:val="28"/>
                <w:szCs w:val="28"/>
                <w:lang w:val="en-US" w:eastAsia="zh-CN"/>
              </w:rPr>
              <w:t>45MWp建设</w:t>
            </w:r>
            <w:r>
              <w:rPr>
                <w:rFonts w:hint="eastAsia"/>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6" w:hRule="atLeast"/>
        </w:trPr>
        <w:tc>
          <w:tcPr>
            <w:tcW w:w="573" w:type="dxa"/>
            <w:vAlign w:val="center"/>
          </w:tcPr>
          <w:p>
            <w:pPr>
              <w:widowControl/>
              <w:rPr>
                <w:color w:val="000000"/>
                <w:sz w:val="28"/>
                <w:szCs w:val="28"/>
              </w:rPr>
            </w:pPr>
            <w:r>
              <w:rPr>
                <w:rFonts w:hint="eastAsia"/>
                <w:color w:val="000000"/>
                <w:sz w:val="28"/>
                <w:szCs w:val="28"/>
              </w:rPr>
              <w:t>验收标准</w:t>
            </w:r>
          </w:p>
        </w:tc>
        <w:tc>
          <w:tcPr>
            <w:tcW w:w="8927" w:type="dxa"/>
            <w:gridSpan w:val="8"/>
            <w:vAlign w:val="top"/>
          </w:tcPr>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《工程建设标准强制性条文（电力工程部分）（2011版）》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《110kV及以上送变电工程启动及竣工验收规程》DL/T782-2001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《国家电网公司输变电工程施工安全监理管理办法（试行） 》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《电力建设安全工作规程《变电所部分》 DL5009. 3-1997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《电力装置安装工程质量检验及评定规程DL/T5161.1~5161.1717-2002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《电气装置安装工程电气设备交接试验标准GB50150-2006</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《电气装置安装工程高压电气施工及验收规范》 CBJ117-1990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《电气装置安装工程母线装置施工及验收规范》 GBJ149-1990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《电气装置安装工程电力变压器、油浸电抗器、互感器施工盐验收规范》GBJ149-1990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《电气装置安装工程电缆线路施工及验收规范》GB50168-2006</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《电气装置安装工程接地装置施工及验收规范》 GB50169-2006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《电气装置安装工程盘、柜及二次回路接线施工及验收规范》 GB50171-1992</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《电气装置安装工程蓄电池施工及验收规范》 GB50172-1992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《电气装置安装工程低压电器施工及验收规范》  GB5054-1996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《电气装置安装工程电力变流设备施工及验收规范》 GB50255-1996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《国家电网公司十八项电网重大反事故措施（施行）》 国家电网计[2005]400号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《国家电网公司电力建设工程施工安全监理管理办法》国家电网基建[2005]302号</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 xml:space="preserve">《电力建设安全健康与环境管理工作规定》 国家电网工[2003]168号   </w:t>
            </w:r>
          </w:p>
          <w:p>
            <w:pPr>
              <w:pStyle w:val="9"/>
              <w:numPr>
                <w:ilvl w:val="0"/>
                <w:numId w:val="1"/>
              </w:numPr>
              <w:spacing w:line="600" w:lineRule="exact"/>
              <w:ind w:left="0" w:firstLine="0" w:firstLineChars="0"/>
              <w:jc w:val="left"/>
              <w:rPr>
                <w:color w:val="000000"/>
                <w:sz w:val="22"/>
                <w:szCs w:val="28"/>
              </w:rPr>
            </w:pPr>
            <w:r>
              <w:rPr>
                <w:rFonts w:hint="eastAsia"/>
                <w:color w:val="000000"/>
                <w:sz w:val="22"/>
                <w:szCs w:val="28"/>
              </w:rPr>
              <w:t>《国家电网公司输变电工程施工危险点辨识及预控措施》 基建安全[2005]50号</w:t>
            </w:r>
          </w:p>
          <w:p>
            <w:pPr>
              <w:pStyle w:val="9"/>
              <w:numPr>
                <w:ilvl w:val="0"/>
                <w:numId w:val="1"/>
              </w:numPr>
              <w:spacing w:line="600" w:lineRule="exact"/>
              <w:ind w:left="0" w:firstLine="0" w:firstLineChars="0"/>
              <w:jc w:val="left"/>
              <w:rPr>
                <w:color w:val="000000"/>
                <w:sz w:val="24"/>
                <w:szCs w:val="28"/>
              </w:rPr>
            </w:pPr>
            <w:r>
              <w:rPr>
                <w:rFonts w:hint="eastAsia"/>
                <w:color w:val="000000"/>
                <w:sz w:val="22"/>
                <w:szCs w:val="28"/>
              </w:rPr>
              <w:t>《输变电工程建设标准强制性条文实施管理规程》国家电网科[2009]642号</w:t>
            </w:r>
            <w:r>
              <w:rPr>
                <w:rFonts w:hint="eastAsia"/>
                <w:color w:val="000000"/>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trPr>
        <w:tc>
          <w:tcPr>
            <w:tcW w:w="573" w:type="dxa"/>
            <w:vAlign w:val="top"/>
          </w:tcPr>
          <w:p>
            <w:pPr>
              <w:widowControl/>
              <w:jc w:val="left"/>
              <w:rPr>
                <w:color w:val="000000"/>
                <w:sz w:val="28"/>
                <w:szCs w:val="28"/>
              </w:rPr>
            </w:pPr>
          </w:p>
        </w:tc>
        <w:tc>
          <w:tcPr>
            <w:tcW w:w="8927" w:type="dxa"/>
            <w:gridSpan w:val="8"/>
            <w:vAlign w:val="top"/>
          </w:tcPr>
          <w:p>
            <w:pPr>
              <w:pStyle w:val="9"/>
              <w:numPr>
                <w:ilvl w:val="0"/>
                <w:numId w:val="1"/>
              </w:numPr>
              <w:spacing w:line="600" w:lineRule="exact"/>
              <w:ind w:firstLineChars="0"/>
              <w:jc w:val="left"/>
              <w:rPr>
                <w:color w:val="000000"/>
                <w:sz w:val="22"/>
                <w:szCs w:val="28"/>
              </w:rPr>
            </w:pPr>
            <w:r>
              <w:rPr>
                <w:rFonts w:hint="eastAsia"/>
                <w:color w:val="000000"/>
                <w:sz w:val="22"/>
                <w:szCs w:val="28"/>
              </w:rPr>
              <w:t>《输变电工程安全文明施工标准》 Q/GDW250-2009</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《关于印发（国家电网公司电力建设工程施工质量监理管理办法）的通知》 </w:t>
            </w:r>
          </w:p>
          <w:p>
            <w:pPr>
              <w:pStyle w:val="9"/>
              <w:spacing w:line="600" w:lineRule="exact"/>
              <w:ind w:left="420" w:firstLine="0" w:firstLineChars="0"/>
              <w:jc w:val="left"/>
              <w:rPr>
                <w:color w:val="000000"/>
                <w:sz w:val="22"/>
                <w:szCs w:val="28"/>
              </w:rPr>
            </w:pPr>
            <w:r>
              <w:rPr>
                <w:rFonts w:hint="eastAsia"/>
                <w:color w:val="000000"/>
                <w:sz w:val="22"/>
                <w:szCs w:val="28"/>
              </w:rPr>
              <w:t xml:space="preserve">国家电网基建[2010]166号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《关于印发（国家电网公司输变电工程质量通病防治工作要求及技术措施）的通知》 </w:t>
            </w:r>
          </w:p>
          <w:p>
            <w:pPr>
              <w:pStyle w:val="9"/>
              <w:spacing w:line="600" w:lineRule="exact"/>
              <w:ind w:left="420" w:firstLine="0" w:firstLineChars="0"/>
              <w:jc w:val="left"/>
              <w:rPr>
                <w:color w:val="000000"/>
                <w:sz w:val="22"/>
                <w:szCs w:val="28"/>
              </w:rPr>
            </w:pPr>
            <w:r>
              <w:rPr>
                <w:rFonts w:hint="eastAsia"/>
                <w:color w:val="000000"/>
                <w:sz w:val="22"/>
                <w:szCs w:val="28"/>
              </w:rPr>
              <w:t xml:space="preserve">国家电网基建[2010] 166号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《国家电网公司电力安全工作规程（变电部分）》 国家电网安检[2009]644号  </w:t>
            </w:r>
          </w:p>
          <w:p>
            <w:pPr>
              <w:pStyle w:val="9"/>
              <w:numPr>
                <w:ilvl w:val="0"/>
                <w:numId w:val="1"/>
              </w:numPr>
              <w:spacing w:line="600" w:lineRule="exact"/>
              <w:ind w:firstLineChars="0"/>
              <w:jc w:val="left"/>
              <w:rPr>
                <w:color w:val="000000"/>
                <w:sz w:val="22"/>
                <w:szCs w:val="28"/>
              </w:rPr>
            </w:pPr>
            <w:r>
              <w:rPr>
                <w:rFonts w:hint="eastAsia" w:ascii="宋体" w:hAnsi="宋体"/>
                <w:sz w:val="22"/>
                <w:szCs w:val="28"/>
              </w:rPr>
              <w:t>《电气装置安装工程</w:t>
            </w:r>
            <w:r>
              <w:rPr>
                <w:rFonts w:ascii="宋体" w:hAnsi="宋体"/>
                <w:sz w:val="22"/>
                <w:szCs w:val="28"/>
              </w:rPr>
              <w:t>35kV</w:t>
            </w:r>
            <w:r>
              <w:rPr>
                <w:rFonts w:hint="eastAsia" w:ascii="宋体" w:hAnsi="宋体"/>
                <w:sz w:val="22"/>
                <w:szCs w:val="28"/>
              </w:rPr>
              <w:t>及以下架空电力线路施工及验收规范》</w:t>
            </w:r>
            <w:r>
              <w:rPr>
                <w:rFonts w:hint="eastAsia" w:ascii="宋体" w:hAnsi="宋体"/>
                <w:sz w:val="22"/>
                <w:szCs w:val="24"/>
              </w:rPr>
              <w:t>（</w:t>
            </w:r>
            <w:r>
              <w:rPr>
                <w:bCs/>
                <w:sz w:val="22"/>
                <w:szCs w:val="24"/>
              </w:rPr>
              <w:t>GB50173</w:t>
            </w:r>
            <w:r>
              <w:rPr>
                <w:rFonts w:hint="eastAsia"/>
                <w:bCs/>
                <w:sz w:val="22"/>
                <w:szCs w:val="24"/>
              </w:rPr>
              <w:t>—19</w:t>
            </w:r>
            <w:r>
              <w:rPr>
                <w:bCs/>
                <w:sz w:val="22"/>
                <w:szCs w:val="24"/>
              </w:rPr>
              <w:t>92</w:t>
            </w:r>
            <w:r>
              <w:rPr>
                <w:rFonts w:hint="eastAsia"/>
                <w:bCs/>
                <w:sz w:val="22"/>
                <w:szCs w:val="24"/>
              </w:rPr>
              <w:t>）；</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《工程建设标准强制性条文（房屋建筑部分）（2013版）》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《建筑工程施工质量验收统一标准》 GB 50300-2001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《建筑地基基础工程施工质量验收规范》 GB50202-2002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《砌体工程施工质量验收规范》 GB 50203-2002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《混凝土结构工程施工质量验收规范》 GB 50204-2002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《屋面工程质量验收规范》 (GB 50207-2002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《建筑地面工程施工质量验收觇范》 GB 00209-2002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《建筑装饰装修工程质量验收规范》 GB50210-2001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《建筑给水排水及采暖工程质量验收规范》 GB50242-2002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《给水排水管道工程施工及验收规范》  GB 50268-97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《钢结构工程施工质量验收规范》 GB 50205-2001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国家电力公司相关规定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设计院提供的施工图纸、施工图会审文件、设计变更通知               </w:t>
            </w:r>
          </w:p>
          <w:p>
            <w:pPr>
              <w:pStyle w:val="9"/>
              <w:numPr>
                <w:ilvl w:val="0"/>
                <w:numId w:val="1"/>
              </w:numPr>
              <w:spacing w:line="600" w:lineRule="exact"/>
              <w:ind w:firstLineChars="0"/>
              <w:jc w:val="left"/>
              <w:rPr>
                <w:color w:val="000000"/>
                <w:sz w:val="22"/>
                <w:szCs w:val="28"/>
              </w:rPr>
            </w:pPr>
            <w:r>
              <w:rPr>
                <w:rFonts w:hint="eastAsia"/>
                <w:color w:val="000000"/>
                <w:sz w:val="22"/>
                <w:szCs w:val="28"/>
              </w:rPr>
              <w:t xml:space="preserve">制造厂家提供的设备安装说明书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73" w:type="dxa"/>
            <w:vAlign w:val="top"/>
          </w:tcPr>
          <w:p>
            <w:pPr>
              <w:widowControl/>
              <w:jc w:val="left"/>
              <w:rPr>
                <w:color w:val="000000"/>
                <w:sz w:val="28"/>
                <w:szCs w:val="28"/>
              </w:rPr>
            </w:pPr>
          </w:p>
        </w:tc>
        <w:tc>
          <w:tcPr>
            <w:tcW w:w="8927" w:type="dxa"/>
            <w:gridSpan w:val="8"/>
            <w:vAlign w:val="top"/>
          </w:tcPr>
          <w:p>
            <w:pPr>
              <w:spacing w:line="600" w:lineRule="exact"/>
              <w:jc w:val="center"/>
              <w:rPr>
                <w:b/>
                <w:color w:val="000000"/>
                <w:sz w:val="28"/>
                <w:szCs w:val="28"/>
              </w:rPr>
            </w:pPr>
            <w:r>
              <w:rPr>
                <w:rFonts w:hint="eastAsia"/>
                <w:b/>
                <w:color w:val="000000"/>
                <w:sz w:val="28"/>
                <w:szCs w:val="28"/>
              </w:rPr>
              <w:t>二、工程概况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78" w:type="dxa"/>
            <w:gridSpan w:val="3"/>
            <w:vAlign w:val="top"/>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项目法人</w:t>
            </w:r>
          </w:p>
        </w:tc>
        <w:tc>
          <w:tcPr>
            <w:tcW w:w="3686" w:type="dxa"/>
            <w:gridSpan w:val="2"/>
            <w:vAlign w:val="top"/>
          </w:tcPr>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衢州天华新能源有限公司</w:t>
            </w:r>
          </w:p>
        </w:tc>
        <w:tc>
          <w:tcPr>
            <w:tcW w:w="1559" w:type="dxa"/>
            <w:gridSpan w:val="2"/>
            <w:vAlign w:val="top"/>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项目管理单位</w:t>
            </w:r>
          </w:p>
        </w:tc>
        <w:tc>
          <w:tcPr>
            <w:tcW w:w="2977" w:type="dxa"/>
            <w:gridSpan w:val="2"/>
            <w:vAlign w:val="top"/>
          </w:tcPr>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衢州天华新能源有限公司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278" w:type="dxa"/>
            <w:gridSpan w:val="3"/>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设计单位</w:t>
            </w:r>
          </w:p>
        </w:tc>
        <w:tc>
          <w:tcPr>
            <w:tcW w:w="3686" w:type="dxa"/>
            <w:gridSpan w:val="2"/>
            <w:vAlign w:val="center"/>
          </w:tcPr>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中国电建集团华东勘测设计研究院有限公司</w:t>
            </w:r>
          </w:p>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 xml:space="preserve"> 衢州光明电力设计有限公司</w:t>
            </w:r>
          </w:p>
          <w:p>
            <w:pPr>
              <w:spacing w:line="600" w:lineRule="exact"/>
              <w:rPr>
                <w:rFonts w:hint="eastAsia" w:ascii="Calibri" w:hAnsi="Calibri" w:eastAsia="宋体" w:cs="黑体"/>
                <w:color w:val="000000"/>
                <w:kern w:val="2"/>
                <w:sz w:val="21"/>
                <w:szCs w:val="21"/>
                <w:lang w:val="en-US" w:eastAsia="zh-CN" w:bidi="ar-SA"/>
              </w:rPr>
            </w:pPr>
          </w:p>
        </w:tc>
        <w:tc>
          <w:tcPr>
            <w:tcW w:w="1559" w:type="dxa"/>
            <w:gridSpan w:val="2"/>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监理单位</w:t>
            </w:r>
          </w:p>
        </w:tc>
        <w:tc>
          <w:tcPr>
            <w:tcW w:w="2977" w:type="dxa"/>
            <w:gridSpan w:val="2"/>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常州正衡电力工程监理有限公司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278" w:type="dxa"/>
            <w:gridSpan w:val="3"/>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总包单位</w:t>
            </w:r>
          </w:p>
        </w:tc>
        <w:tc>
          <w:tcPr>
            <w:tcW w:w="3686" w:type="dxa"/>
            <w:gridSpan w:val="2"/>
            <w:vAlign w:val="center"/>
          </w:tcPr>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中国电建集团华东勘测设计研究院有限公司</w:t>
            </w:r>
          </w:p>
          <w:p>
            <w:pPr>
              <w:spacing w:line="600" w:lineRule="exact"/>
              <w:rPr>
                <w:rFonts w:hint="eastAsia" w:ascii="Calibri" w:hAnsi="Calibri" w:eastAsia="宋体" w:cs="黑体"/>
                <w:color w:val="000000"/>
                <w:kern w:val="2"/>
                <w:sz w:val="21"/>
                <w:szCs w:val="21"/>
                <w:lang w:val="en-US" w:eastAsia="zh-CN" w:bidi="ar-SA"/>
              </w:rPr>
            </w:pPr>
          </w:p>
        </w:tc>
        <w:tc>
          <w:tcPr>
            <w:tcW w:w="1559" w:type="dxa"/>
            <w:gridSpan w:val="2"/>
            <w:vMerge w:val="restart"/>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运行单位</w:t>
            </w:r>
          </w:p>
        </w:tc>
        <w:tc>
          <w:tcPr>
            <w:tcW w:w="2977" w:type="dxa"/>
            <w:gridSpan w:val="2"/>
            <w:vMerge w:val="restart"/>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衢州天华新能源有限公司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278" w:type="dxa"/>
            <w:gridSpan w:val="3"/>
            <w:vAlign w:val="center"/>
          </w:tcPr>
          <w:p>
            <w:pPr>
              <w:spacing w:line="600" w:lineRule="exact"/>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施工单位</w:t>
            </w:r>
          </w:p>
        </w:tc>
        <w:tc>
          <w:tcPr>
            <w:tcW w:w="3686" w:type="dxa"/>
            <w:gridSpan w:val="2"/>
            <w:vAlign w:val="center"/>
          </w:tcPr>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浙江省工业设备安装集团有限公司</w:t>
            </w:r>
          </w:p>
          <w:p>
            <w:pPr>
              <w:spacing w:after="156" w:afterLines="50"/>
              <w:rPr>
                <w:rFonts w:hint="eastAsia" w:ascii="Calibri" w:hAnsi="Calibri" w:eastAsia="宋体" w:cs="黑体"/>
                <w:color w:val="000000"/>
                <w:kern w:val="2"/>
                <w:sz w:val="21"/>
                <w:szCs w:val="21"/>
                <w:lang w:val="en-US" w:eastAsia="zh-CN" w:bidi="ar-SA"/>
              </w:rPr>
            </w:pPr>
            <w:r>
              <w:rPr>
                <w:rFonts w:hint="eastAsia" w:ascii="Calibri" w:hAnsi="Calibri" w:eastAsia="宋体" w:cs="黑体"/>
                <w:color w:val="000000"/>
                <w:kern w:val="2"/>
                <w:sz w:val="21"/>
                <w:szCs w:val="21"/>
                <w:lang w:val="en-US" w:eastAsia="zh-CN" w:bidi="ar-SA"/>
              </w:rPr>
              <w:t>中国水利水电第十二工程局有限公司</w:t>
            </w:r>
          </w:p>
          <w:p>
            <w:pPr>
              <w:spacing w:line="600" w:lineRule="exact"/>
              <w:rPr>
                <w:rFonts w:hint="eastAsia" w:ascii="Calibri" w:hAnsi="Calibri" w:eastAsia="宋体" w:cs="黑体"/>
                <w:color w:val="000000"/>
                <w:kern w:val="2"/>
                <w:sz w:val="21"/>
                <w:szCs w:val="21"/>
                <w:lang w:val="en-US" w:eastAsia="zh-CN" w:bidi="ar-SA"/>
              </w:rPr>
            </w:pPr>
          </w:p>
        </w:tc>
        <w:tc>
          <w:tcPr>
            <w:tcW w:w="1559" w:type="dxa"/>
            <w:gridSpan w:val="2"/>
            <w:vMerge w:val="continue"/>
            <w:vAlign w:val="center"/>
          </w:tcPr>
          <w:p>
            <w:pPr>
              <w:spacing w:line="600" w:lineRule="exact"/>
              <w:rPr>
                <w:color w:val="000000"/>
                <w:szCs w:val="21"/>
              </w:rPr>
            </w:pPr>
          </w:p>
        </w:tc>
        <w:tc>
          <w:tcPr>
            <w:tcW w:w="2977" w:type="dxa"/>
            <w:gridSpan w:val="2"/>
            <w:vMerge w:val="continue"/>
            <w:vAlign w:val="center"/>
          </w:tcPr>
          <w:p>
            <w:pPr>
              <w:spacing w:line="6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500" w:type="dxa"/>
            <w:gridSpan w:val="9"/>
            <w:vAlign w:val="center"/>
          </w:tcPr>
          <w:p>
            <w:pPr>
              <w:pStyle w:val="9"/>
              <w:numPr>
                <w:ilvl w:val="0"/>
                <w:numId w:val="2"/>
              </w:numPr>
              <w:spacing w:line="600" w:lineRule="exact"/>
              <w:ind w:firstLineChars="0"/>
              <w:jc w:val="left"/>
              <w:rPr>
                <w:rFonts w:ascii="黑体" w:hAnsi="黑体" w:eastAsia="黑体"/>
                <w:sz w:val="28"/>
                <w:szCs w:val="28"/>
              </w:rPr>
            </w:pPr>
            <w:r>
              <w:rPr>
                <w:rFonts w:hint="eastAsia" w:ascii="黑体" w:hAnsi="黑体" w:eastAsia="黑体"/>
                <w:sz w:val="28"/>
                <w:szCs w:val="28"/>
              </w:rPr>
              <w:t>工程规模及建筑情况</w:t>
            </w:r>
          </w:p>
          <w:p>
            <w:pPr>
              <w:pStyle w:val="9"/>
              <w:numPr>
                <w:ilvl w:val="0"/>
                <w:numId w:val="3"/>
              </w:numPr>
              <w:spacing w:line="600" w:lineRule="exact"/>
              <w:ind w:left="0" w:firstLine="420" w:firstLineChars="0"/>
              <w:jc w:val="left"/>
              <w:rPr>
                <w:color w:val="000000"/>
                <w:szCs w:val="21"/>
              </w:rPr>
            </w:pPr>
            <w:r>
              <w:rPr>
                <w:rFonts w:hint="eastAsia"/>
                <w:color w:val="000000"/>
                <w:szCs w:val="21"/>
              </w:rPr>
              <w:t>工程名称：</w:t>
            </w:r>
            <w:r>
              <w:rPr>
                <w:rFonts w:hint="eastAsia"/>
                <w:color w:val="000000"/>
                <w:szCs w:val="21"/>
                <w:lang w:eastAsia="zh-CN"/>
              </w:rPr>
              <w:t>衢州市衢江区光伏电站一期</w:t>
            </w:r>
            <w:r>
              <w:rPr>
                <w:rFonts w:hint="eastAsia"/>
                <w:color w:val="000000"/>
                <w:szCs w:val="21"/>
                <w:lang w:val="en-US" w:eastAsia="zh-CN"/>
              </w:rPr>
              <w:t>45MWp建设</w:t>
            </w:r>
            <w:r>
              <w:rPr>
                <w:rFonts w:hint="eastAsia"/>
                <w:color w:val="000000"/>
                <w:szCs w:val="21"/>
              </w:rPr>
              <w:t>项目</w:t>
            </w:r>
          </w:p>
          <w:p>
            <w:pPr>
              <w:pStyle w:val="9"/>
              <w:numPr>
                <w:ilvl w:val="0"/>
                <w:numId w:val="3"/>
              </w:numPr>
              <w:spacing w:line="600" w:lineRule="exact"/>
              <w:ind w:left="0" w:firstLine="420" w:firstLineChars="0"/>
              <w:jc w:val="left"/>
              <w:rPr>
                <w:color w:val="000000"/>
                <w:szCs w:val="21"/>
              </w:rPr>
            </w:pPr>
            <w:r>
              <w:rPr>
                <w:rFonts w:hint="eastAsia"/>
                <w:color w:val="000000"/>
                <w:szCs w:val="21"/>
              </w:rPr>
              <w:t>工程性质：新建</w:t>
            </w:r>
          </w:p>
          <w:p>
            <w:pPr>
              <w:pStyle w:val="9"/>
              <w:numPr>
                <w:ilvl w:val="0"/>
                <w:numId w:val="3"/>
              </w:numPr>
              <w:spacing w:line="600" w:lineRule="exact"/>
              <w:ind w:left="0" w:firstLine="420" w:firstLineChars="0"/>
              <w:jc w:val="left"/>
              <w:rPr>
                <w:color w:val="000000"/>
                <w:szCs w:val="21"/>
              </w:rPr>
            </w:pPr>
            <w:r>
              <w:rPr>
                <w:rFonts w:hint="eastAsia"/>
                <w:color w:val="000000"/>
                <w:szCs w:val="21"/>
              </w:rPr>
              <w:t>工程建设地点：</w:t>
            </w:r>
            <w:r>
              <w:rPr>
                <w:rFonts w:hint="eastAsia"/>
                <w:color w:val="000000"/>
                <w:szCs w:val="21"/>
                <w:lang w:eastAsia="zh-CN"/>
              </w:rPr>
              <w:t>衢州市衢江区十里丰农场</w:t>
            </w:r>
          </w:p>
          <w:p>
            <w:pPr>
              <w:pStyle w:val="9"/>
              <w:numPr>
                <w:ilvl w:val="0"/>
                <w:numId w:val="3"/>
              </w:numPr>
              <w:spacing w:line="600" w:lineRule="exact"/>
              <w:ind w:left="0" w:firstLine="420" w:firstLineChars="0"/>
              <w:jc w:val="left"/>
              <w:rPr>
                <w:color w:val="000000"/>
                <w:szCs w:val="21"/>
              </w:rPr>
            </w:pPr>
            <w:r>
              <w:rPr>
                <w:rFonts w:hint="eastAsia"/>
                <w:color w:val="000000"/>
                <w:szCs w:val="21"/>
              </w:rPr>
              <w:t>建设单位：</w:t>
            </w:r>
            <w:r>
              <w:rPr>
                <w:rFonts w:hint="eastAsia" w:ascii="Calibri" w:hAnsi="Calibri" w:eastAsia="宋体" w:cs="黑体"/>
                <w:color w:val="000000"/>
                <w:kern w:val="2"/>
                <w:sz w:val="21"/>
                <w:szCs w:val="21"/>
                <w:lang w:val="en-US" w:eastAsia="zh-CN" w:bidi="ar-SA"/>
              </w:rPr>
              <w:t>衢州天华新能源有限公司</w:t>
            </w:r>
          </w:p>
          <w:p>
            <w:pPr>
              <w:pStyle w:val="9"/>
              <w:numPr>
                <w:ilvl w:val="0"/>
                <w:numId w:val="3"/>
              </w:numPr>
              <w:spacing w:line="600" w:lineRule="exact"/>
              <w:ind w:left="0" w:firstLine="420" w:firstLineChars="0"/>
              <w:jc w:val="left"/>
              <w:rPr>
                <w:color w:val="000000"/>
                <w:szCs w:val="21"/>
              </w:rPr>
            </w:pPr>
            <w:r>
              <w:rPr>
                <w:rFonts w:hint="eastAsia"/>
                <w:color w:val="000000"/>
                <w:szCs w:val="21"/>
              </w:rPr>
              <w:t>建设规模：</w:t>
            </w:r>
            <w:r>
              <w:rPr>
                <w:rFonts w:hint="eastAsia"/>
                <w:color w:val="000000"/>
                <w:szCs w:val="21"/>
                <w:lang w:eastAsia="zh-CN"/>
              </w:rPr>
              <w:t>衢州市衢江区光伏电站一期</w:t>
            </w:r>
            <w:r>
              <w:rPr>
                <w:rFonts w:hint="eastAsia"/>
                <w:color w:val="000000"/>
                <w:szCs w:val="21"/>
                <w:lang w:val="en-US" w:eastAsia="zh-CN"/>
              </w:rPr>
              <w:t>45MWp建设</w:t>
            </w:r>
            <w:r>
              <w:rPr>
                <w:rFonts w:hint="eastAsia"/>
                <w:color w:val="000000"/>
                <w:szCs w:val="21"/>
              </w:rPr>
              <w:t>项目</w:t>
            </w:r>
            <w:r>
              <w:rPr>
                <w:rFonts w:hint="eastAsia" w:hAnsi="Times New Roman"/>
                <w:sz w:val="23"/>
                <w:szCs w:val="23"/>
              </w:rPr>
              <w:t>是由</w:t>
            </w:r>
            <w:r>
              <w:rPr>
                <w:rFonts w:hint="eastAsia" w:hAnsi="Times New Roman"/>
                <w:sz w:val="23"/>
                <w:szCs w:val="23"/>
                <w:lang w:eastAsia="zh-CN"/>
              </w:rPr>
              <w:t>衢州天华新能源</w:t>
            </w:r>
            <w:r>
              <w:rPr>
                <w:rFonts w:hint="eastAsia" w:hAnsi="Times New Roman"/>
                <w:sz w:val="23"/>
                <w:szCs w:val="23"/>
              </w:rPr>
              <w:t>有限公司投资建设的大型并网光伏电站，建设规模总容量为</w:t>
            </w:r>
            <w:r>
              <w:rPr>
                <w:rFonts w:hint="eastAsia" w:hAnsi="Times New Roman"/>
                <w:sz w:val="23"/>
                <w:szCs w:val="23"/>
                <w:lang w:val="en-US" w:eastAsia="zh-CN"/>
              </w:rPr>
              <w:t>45</w:t>
            </w:r>
            <w:r>
              <w:rPr>
                <w:rFonts w:ascii="Times New Roman" w:hAnsi="Times New Roman" w:cs="Times New Roman"/>
                <w:sz w:val="23"/>
                <w:szCs w:val="23"/>
              </w:rPr>
              <w:t>MWp</w:t>
            </w:r>
            <w:r>
              <w:rPr>
                <w:rFonts w:hint="eastAsia" w:hAnsi="Times New Roman"/>
                <w:sz w:val="23"/>
                <w:szCs w:val="23"/>
              </w:rPr>
              <w:t>。</w:t>
            </w:r>
          </w:p>
          <w:p>
            <w:pPr>
              <w:pStyle w:val="9"/>
              <w:spacing w:line="600" w:lineRule="exact"/>
              <w:jc w:val="left"/>
              <w:rPr>
                <w:rFonts w:hAnsi="Times New Roman"/>
                <w:szCs w:val="21"/>
              </w:rPr>
            </w:pPr>
            <w:r>
              <w:rPr>
                <w:rFonts w:hint="eastAsia"/>
                <w:color w:val="000000"/>
                <w:szCs w:val="21"/>
                <w:lang w:eastAsia="zh-CN"/>
              </w:rPr>
              <w:t>衢州市衢江区光伏电站一期</w:t>
            </w:r>
            <w:r>
              <w:rPr>
                <w:rFonts w:hint="eastAsia"/>
                <w:color w:val="000000"/>
                <w:szCs w:val="21"/>
                <w:lang w:val="en-US" w:eastAsia="zh-CN"/>
              </w:rPr>
              <w:t>45MWp建设</w:t>
            </w:r>
            <w:r>
              <w:rPr>
                <w:rFonts w:hint="eastAsia"/>
                <w:color w:val="000000"/>
                <w:szCs w:val="21"/>
              </w:rPr>
              <w:t>项目</w:t>
            </w:r>
            <w:r>
              <w:rPr>
                <w:rFonts w:hint="eastAsia" w:hAnsi="Times New Roman"/>
                <w:szCs w:val="21"/>
              </w:rPr>
              <w:t>位于</w:t>
            </w:r>
            <w:r>
              <w:rPr>
                <w:rFonts w:hint="eastAsia" w:hAnsi="Times New Roman"/>
                <w:szCs w:val="21"/>
                <w:lang w:eastAsia="zh-CN"/>
              </w:rPr>
              <w:t>衢州</w:t>
            </w:r>
            <w:r>
              <w:rPr>
                <w:rFonts w:hint="eastAsia" w:hAnsi="Times New Roman"/>
                <w:szCs w:val="21"/>
              </w:rPr>
              <w:t>市东北约</w:t>
            </w:r>
            <w:r>
              <w:rPr>
                <w:rFonts w:hint="eastAsia" w:hAnsi="Times New Roman"/>
                <w:szCs w:val="21"/>
                <w:lang w:val="en-US" w:eastAsia="zh-CN"/>
              </w:rPr>
              <w:t>20</w:t>
            </w:r>
            <w:r>
              <w:rPr>
                <w:rFonts w:ascii="Times New Roman" w:hAnsi="Times New Roman" w:cs="Times New Roman"/>
                <w:szCs w:val="21"/>
              </w:rPr>
              <w:t>km</w:t>
            </w:r>
            <w:r>
              <w:rPr>
                <w:rFonts w:hint="eastAsia" w:hAnsi="Times New Roman"/>
                <w:szCs w:val="21"/>
              </w:rPr>
              <w:t>处，</w:t>
            </w:r>
            <w:r>
              <w:rPr>
                <w:rFonts w:hint="eastAsia" w:hAnsi="Times New Roman"/>
                <w:szCs w:val="21"/>
                <w:lang w:eastAsia="zh-CN"/>
              </w:rPr>
              <w:t>南</w:t>
            </w:r>
            <w:r>
              <w:rPr>
                <w:rFonts w:hint="eastAsia" w:hAnsi="Times New Roman"/>
                <w:szCs w:val="21"/>
              </w:rPr>
              <w:t>距</w:t>
            </w:r>
            <w:r>
              <w:rPr>
                <w:rFonts w:hint="eastAsia" w:hAnsi="Times New Roman"/>
                <w:szCs w:val="21"/>
                <w:lang w:eastAsia="zh-CN"/>
              </w:rPr>
              <w:t>高家</w:t>
            </w:r>
            <w:r>
              <w:rPr>
                <w:rFonts w:hint="eastAsia" w:hAnsi="Times New Roman"/>
                <w:szCs w:val="21"/>
              </w:rPr>
              <w:t>镇</w:t>
            </w:r>
            <w:r>
              <w:rPr>
                <w:rFonts w:hint="eastAsia" w:hAnsi="Times New Roman"/>
                <w:szCs w:val="21"/>
                <w:lang w:val="en-US" w:eastAsia="zh-CN"/>
              </w:rPr>
              <w:t>4</w:t>
            </w:r>
            <w:r>
              <w:rPr>
                <w:rFonts w:ascii="Times New Roman" w:hAnsi="Times New Roman" w:cs="Times New Roman"/>
                <w:szCs w:val="21"/>
              </w:rPr>
              <w:t>km</w:t>
            </w:r>
            <w:r>
              <w:rPr>
                <w:rFonts w:hint="eastAsia" w:hAnsi="Times New Roman"/>
                <w:szCs w:val="21"/>
              </w:rPr>
              <w:t>，规划用地为</w:t>
            </w:r>
            <w:r>
              <w:rPr>
                <w:rFonts w:hint="eastAsia" w:hAnsi="Times New Roman"/>
                <w:szCs w:val="21"/>
                <w:lang w:eastAsia="zh-CN"/>
              </w:rPr>
              <w:t>长条</w:t>
            </w:r>
            <w:r>
              <w:rPr>
                <w:rFonts w:hint="eastAsia" w:hAnsi="Times New Roman"/>
                <w:szCs w:val="21"/>
              </w:rPr>
              <w:t>形，</w:t>
            </w:r>
            <w:r>
              <w:rPr>
                <w:rFonts w:hint="eastAsia" w:hAnsi="Times New Roman"/>
                <w:szCs w:val="21"/>
                <w:lang w:eastAsia="zh-CN"/>
              </w:rPr>
              <w:t>南北</w:t>
            </w:r>
            <w:r>
              <w:rPr>
                <w:rFonts w:hint="eastAsia" w:hAnsi="Times New Roman"/>
                <w:szCs w:val="21"/>
              </w:rPr>
              <w:t>长约</w:t>
            </w:r>
            <w:r>
              <w:rPr>
                <w:rFonts w:hint="eastAsia" w:hAnsi="Times New Roman"/>
                <w:szCs w:val="21"/>
                <w:lang w:val="en-US" w:eastAsia="zh-CN"/>
              </w:rPr>
              <w:t>25</w:t>
            </w:r>
            <w:r>
              <w:rPr>
                <w:rFonts w:ascii="Times New Roman" w:hAnsi="Times New Roman" w:cs="Times New Roman"/>
                <w:szCs w:val="21"/>
              </w:rPr>
              <w:t>00m</w:t>
            </w:r>
            <w:r>
              <w:rPr>
                <w:rFonts w:hint="eastAsia" w:hAnsi="Times New Roman"/>
                <w:szCs w:val="21"/>
              </w:rPr>
              <w:t>，</w:t>
            </w:r>
            <w:r>
              <w:rPr>
                <w:rFonts w:hint="eastAsia" w:hAnsi="Times New Roman"/>
                <w:szCs w:val="21"/>
                <w:lang w:eastAsia="zh-CN"/>
              </w:rPr>
              <w:t>东西</w:t>
            </w:r>
            <w:r>
              <w:rPr>
                <w:rFonts w:hint="eastAsia" w:hAnsi="Times New Roman"/>
                <w:szCs w:val="21"/>
              </w:rPr>
              <w:t>宽</w:t>
            </w:r>
            <w:r>
              <w:rPr>
                <w:rFonts w:hint="eastAsia" w:hAnsi="Times New Roman"/>
                <w:szCs w:val="21"/>
                <w:lang w:eastAsia="zh-CN"/>
              </w:rPr>
              <w:t>平均</w:t>
            </w:r>
            <w:r>
              <w:rPr>
                <w:rFonts w:hint="eastAsia" w:hAnsi="Times New Roman"/>
                <w:szCs w:val="21"/>
              </w:rPr>
              <w:t>约</w:t>
            </w:r>
            <w:r>
              <w:rPr>
                <w:rFonts w:hint="eastAsia" w:hAnsi="Times New Roman"/>
                <w:szCs w:val="21"/>
                <w:lang w:val="en-US" w:eastAsia="zh-CN"/>
              </w:rPr>
              <w:t>500</w:t>
            </w:r>
            <w:r>
              <w:rPr>
                <w:rFonts w:ascii="Times New Roman" w:hAnsi="Times New Roman" w:cs="Times New Roman"/>
                <w:szCs w:val="21"/>
              </w:rPr>
              <w:t>m</w:t>
            </w:r>
            <w:r>
              <w:rPr>
                <w:rFonts w:hint="eastAsia" w:hAnsi="Times New Roman"/>
                <w:szCs w:val="21"/>
              </w:rPr>
              <w:t>。电场占地约</w:t>
            </w:r>
            <w:r>
              <w:rPr>
                <w:rFonts w:hint="eastAsia" w:hAnsi="Times New Roman"/>
                <w:szCs w:val="21"/>
                <w:lang w:val="en-US" w:eastAsia="zh-CN"/>
              </w:rPr>
              <w:t>1153亩</w:t>
            </w:r>
            <w:r>
              <w:rPr>
                <w:rFonts w:hint="eastAsia" w:hAnsi="Times New Roman"/>
                <w:szCs w:val="21"/>
              </w:rPr>
              <w:t>。本工程由综合楼、</w:t>
            </w:r>
            <w:r>
              <w:rPr>
                <w:rFonts w:hint="eastAsia" w:hAnsi="Times New Roman"/>
                <w:szCs w:val="21"/>
                <w:lang w:eastAsia="zh-CN"/>
              </w:rPr>
              <w:t>配电房</w:t>
            </w:r>
            <w:r>
              <w:rPr>
                <w:rFonts w:hint="eastAsia" w:hAnsi="Times New Roman"/>
                <w:szCs w:val="21"/>
              </w:rPr>
              <w:t>及升压变电站（</w:t>
            </w:r>
            <w:r>
              <w:rPr>
                <w:rFonts w:hint="eastAsia" w:hAnsi="Times New Roman"/>
                <w:szCs w:val="21"/>
                <w:lang w:val="en-US" w:eastAsia="zh-CN"/>
              </w:rPr>
              <w:t>28</w:t>
            </w:r>
            <w:r>
              <w:rPr>
                <w:rFonts w:hint="eastAsia" w:hAnsi="Times New Roman"/>
                <w:szCs w:val="21"/>
              </w:rPr>
              <w:t>处）、</w:t>
            </w:r>
            <w:r>
              <w:rPr>
                <w:rFonts w:hint="eastAsia" w:hAnsi="Times New Roman"/>
                <w:szCs w:val="21"/>
                <w:lang w:val="en-US" w:eastAsia="zh-CN"/>
              </w:rPr>
              <w:t>28</w:t>
            </w:r>
            <w:r>
              <w:rPr>
                <w:rFonts w:hint="eastAsia" w:hAnsi="Times New Roman"/>
                <w:szCs w:val="21"/>
              </w:rPr>
              <w:t>个发电单元组成，总装机容量为</w:t>
            </w:r>
            <w:r>
              <w:rPr>
                <w:rFonts w:hint="eastAsia" w:hAnsi="Times New Roman"/>
                <w:szCs w:val="21"/>
                <w:lang w:val="en-US" w:eastAsia="zh-CN"/>
              </w:rPr>
              <w:t>45</w:t>
            </w:r>
            <w:r>
              <w:rPr>
                <w:rFonts w:hint="eastAsia" w:hAnsi="Times New Roman"/>
                <w:szCs w:val="21"/>
              </w:rPr>
              <w:t>MW。</w:t>
            </w:r>
            <w:r>
              <w:rPr>
                <w:rFonts w:hint="eastAsia"/>
                <w:szCs w:val="21"/>
              </w:rPr>
              <w:t>本项目所处位置为</w:t>
            </w:r>
            <w:r>
              <w:rPr>
                <w:rFonts w:hint="eastAsia"/>
                <w:szCs w:val="21"/>
                <w:lang w:eastAsia="zh-CN"/>
              </w:rPr>
              <w:t>农场荒地</w:t>
            </w:r>
            <w:r>
              <w:rPr>
                <w:rFonts w:hint="eastAsia"/>
                <w:szCs w:val="21"/>
              </w:rPr>
              <w:t>，场地地形较平坦，</w:t>
            </w:r>
            <w:r>
              <w:rPr>
                <w:rFonts w:hint="eastAsia" w:hAnsi="Times New Roman"/>
                <w:szCs w:val="21"/>
              </w:rPr>
              <w:t>有少量冲沟，生长有少量荒草，地势平坦，场地开阔。</w:t>
            </w:r>
          </w:p>
          <w:p>
            <w:pPr>
              <w:spacing w:line="360" w:lineRule="auto"/>
              <w:ind w:firstLine="480" w:firstLineChars="200"/>
              <w:rPr>
                <w:rFonts w:hint="eastAsia" w:ascii="Calibri" w:hAnsi="Times New Roman" w:eastAsia="宋体" w:cs="黑体"/>
                <w:kern w:val="2"/>
                <w:sz w:val="21"/>
                <w:szCs w:val="21"/>
                <w:lang w:val="en-US" w:eastAsia="zh-CN" w:bidi="ar-SA"/>
              </w:rPr>
            </w:pPr>
            <w:r>
              <w:rPr>
                <w:rFonts w:hint="eastAsia" w:ascii="Calibri" w:hAnsi="Times New Roman" w:eastAsia="宋体" w:cs="黑体"/>
                <w:kern w:val="2"/>
                <w:sz w:val="21"/>
                <w:szCs w:val="21"/>
                <w:lang w:val="en-US" w:eastAsia="zh-CN" w:bidi="ar-SA"/>
              </w:rPr>
              <w:t>本电站并网点</w:t>
            </w:r>
            <w:r>
              <w:rPr>
                <w:rFonts w:hint="eastAsia" w:hAnsi="Times New Roman" w:cs="黑体"/>
                <w:kern w:val="2"/>
                <w:sz w:val="21"/>
                <w:szCs w:val="21"/>
                <w:lang w:val="en-US" w:eastAsia="zh-CN" w:bidi="ar-SA"/>
              </w:rPr>
              <w:t>为</w:t>
            </w:r>
            <w:r>
              <w:rPr>
                <w:rFonts w:hint="eastAsia" w:ascii="Calibri" w:hAnsi="Times New Roman" w:eastAsia="宋体" w:cs="黑体"/>
                <w:kern w:val="2"/>
                <w:sz w:val="21"/>
                <w:szCs w:val="21"/>
                <w:lang w:val="en-US" w:eastAsia="zh-CN" w:bidi="ar-SA"/>
              </w:rPr>
              <w:t>升压站至太模线T接。</w:t>
            </w:r>
            <w:r>
              <w:rPr>
                <w:rFonts w:hint="eastAsia" w:hAnsi="Times New Roman" w:cs="黑体"/>
                <w:kern w:val="2"/>
                <w:sz w:val="21"/>
                <w:szCs w:val="21"/>
                <w:lang w:val="en-US" w:eastAsia="zh-CN" w:bidi="ar-SA"/>
              </w:rPr>
              <w:t>送出</w:t>
            </w:r>
            <w:r>
              <w:rPr>
                <w:rFonts w:hint="eastAsia" w:ascii="Calibri" w:hAnsi="Times New Roman" w:eastAsia="宋体" w:cs="黑体"/>
                <w:kern w:val="2"/>
                <w:sz w:val="21"/>
                <w:szCs w:val="21"/>
                <w:lang w:val="en-US" w:eastAsia="zh-CN" w:bidi="ar-SA"/>
              </w:rPr>
              <w:t>线路工程从110kV天华光伏升压站构架架空出线至终端塔J1，左转至J2，右转向东南侧行进，跨越鱼塘后至J3，右转接至J4点，T接至110kV太模1716线17#-18#档。新建线路长度1.074公里，新建铁塔4基，单回路建设，同时需拆除原线路17#塔，导线采用JL/G1-240/30钢芯铝绞线，地线单根采用JLB35-80铝包钢绞线，安全系数为2.5，另一侧采用OPGW光缆。</w:t>
            </w:r>
          </w:p>
          <w:p>
            <w:pPr>
              <w:spacing w:line="480" w:lineRule="auto"/>
              <w:ind w:firstLine="473" w:firstLineChars="225"/>
              <w:rPr>
                <w:rFonts w:ascii="宋体" w:hAnsi="宋体"/>
                <w:szCs w:val="21"/>
              </w:rPr>
            </w:pPr>
          </w:p>
          <w:p>
            <w:pPr>
              <w:pStyle w:val="9"/>
              <w:numPr>
                <w:ilvl w:val="0"/>
                <w:numId w:val="2"/>
              </w:numPr>
              <w:spacing w:line="600" w:lineRule="exact"/>
              <w:ind w:firstLineChars="0"/>
              <w:jc w:val="left"/>
              <w:rPr>
                <w:rFonts w:ascii="黑体" w:hAnsi="黑体" w:eastAsia="黑体"/>
                <w:sz w:val="28"/>
                <w:szCs w:val="28"/>
              </w:rPr>
            </w:pPr>
            <w:r>
              <w:rPr>
                <w:rFonts w:hint="eastAsia" w:ascii="黑体" w:hAnsi="黑体" w:eastAsia="黑体"/>
                <w:sz w:val="28"/>
                <w:szCs w:val="28"/>
              </w:rPr>
              <w:t>电气部分</w:t>
            </w:r>
          </w:p>
          <w:p>
            <w:pPr>
              <w:pStyle w:val="9"/>
              <w:numPr>
                <w:ilvl w:val="1"/>
                <w:numId w:val="2"/>
              </w:numPr>
              <w:spacing w:line="600" w:lineRule="exact"/>
              <w:ind w:left="0" w:firstLine="357" w:firstLineChars="0"/>
              <w:jc w:val="left"/>
              <w:rPr>
                <w:rFonts w:ascii="黑体" w:hAnsi="黑体" w:eastAsia="黑体"/>
                <w:sz w:val="28"/>
                <w:szCs w:val="28"/>
              </w:rPr>
            </w:pPr>
            <w:r>
              <w:rPr>
                <w:rFonts w:hint="eastAsia" w:ascii="黑体" w:hAnsi="黑体" w:eastAsia="黑体"/>
                <w:sz w:val="28"/>
                <w:szCs w:val="28"/>
              </w:rPr>
              <w:t>电气直流部分</w:t>
            </w:r>
          </w:p>
          <w:p>
            <w:pPr>
              <w:pStyle w:val="9"/>
              <w:numPr>
                <w:ilvl w:val="2"/>
                <w:numId w:val="2"/>
              </w:numPr>
              <w:spacing w:line="600" w:lineRule="exact"/>
              <w:ind w:left="0" w:firstLine="460"/>
              <w:jc w:val="left"/>
              <w:rPr>
                <w:rFonts w:hAnsi="Times New Roman"/>
                <w:sz w:val="23"/>
                <w:szCs w:val="23"/>
              </w:rPr>
            </w:pPr>
            <w:r>
              <w:rPr>
                <w:rFonts w:hint="eastAsia" w:hAnsi="Times New Roman"/>
                <w:sz w:val="23"/>
                <w:szCs w:val="23"/>
              </w:rPr>
              <w:t>光伏组件产品采用中利腾晖光伏科技有限公司的</w:t>
            </w:r>
            <w:r>
              <w:rPr>
                <w:rFonts w:hint="eastAsia" w:hAnsi="Times New Roman"/>
                <w:sz w:val="23"/>
                <w:szCs w:val="23"/>
                <w:lang w:val="en-US" w:eastAsia="zh-CN"/>
              </w:rPr>
              <w:t>S</w:t>
            </w:r>
            <w:r>
              <w:rPr>
                <w:rFonts w:hint="eastAsia" w:hAnsi="Times New Roman"/>
                <w:sz w:val="23"/>
                <w:szCs w:val="23"/>
              </w:rPr>
              <w:t>TP规格多晶组件。组件功率为：</w:t>
            </w:r>
            <w:r>
              <w:rPr>
                <w:rFonts w:hint="eastAsia" w:hAnsi="Times New Roman"/>
                <w:sz w:val="23"/>
                <w:szCs w:val="23"/>
                <w:lang w:val="en-US" w:eastAsia="zh-CN"/>
              </w:rPr>
              <w:t>250</w:t>
            </w:r>
            <w:r>
              <w:rPr>
                <w:rFonts w:hint="eastAsia" w:hAnsi="Times New Roman"/>
                <w:sz w:val="23"/>
                <w:szCs w:val="23"/>
              </w:rPr>
              <w:t>w、</w:t>
            </w:r>
            <w:r>
              <w:rPr>
                <w:rFonts w:hint="eastAsia" w:hAnsi="Times New Roman"/>
                <w:sz w:val="23"/>
                <w:szCs w:val="23"/>
                <w:lang w:val="en-US" w:eastAsia="zh-CN"/>
              </w:rPr>
              <w:t>255</w:t>
            </w:r>
            <w:r>
              <w:rPr>
                <w:rFonts w:hint="eastAsia" w:hAnsi="Times New Roman"/>
                <w:sz w:val="23"/>
                <w:szCs w:val="23"/>
              </w:rPr>
              <w:t>w。支架采取阵列单元设计，每个单元分为上下两排组件，组件安装采取竖直布置，引出线在</w:t>
            </w:r>
            <w:r>
              <w:rPr>
                <w:rFonts w:hint="eastAsia" w:hAnsi="Times New Roman"/>
                <w:sz w:val="23"/>
                <w:szCs w:val="23"/>
                <w:lang w:eastAsia="zh-CN"/>
              </w:rPr>
              <w:t>两块组件</w:t>
            </w:r>
            <w:r>
              <w:rPr>
                <w:rFonts w:hint="eastAsia" w:hAnsi="Times New Roman"/>
                <w:sz w:val="23"/>
                <w:szCs w:val="23"/>
              </w:rPr>
              <w:t>中央部位，朝南固定式安装，安装倾角</w:t>
            </w:r>
            <w:r>
              <w:rPr>
                <w:rFonts w:hint="eastAsia" w:hAnsi="Times New Roman"/>
                <w:sz w:val="23"/>
                <w:szCs w:val="23"/>
                <w:lang w:val="en-US" w:eastAsia="zh-CN"/>
              </w:rPr>
              <w:t>20</w:t>
            </w:r>
            <w:r>
              <w:rPr>
                <w:rFonts w:hint="eastAsia" w:hAnsi="Times New Roman"/>
                <w:sz w:val="23"/>
                <w:szCs w:val="23"/>
              </w:rPr>
              <w:t>度，前后两排间距</w:t>
            </w:r>
            <w:r>
              <w:rPr>
                <w:rFonts w:hint="eastAsia" w:hAnsi="Times New Roman"/>
                <w:sz w:val="23"/>
                <w:szCs w:val="23"/>
                <w:lang w:val="en-US" w:eastAsia="zh-CN"/>
              </w:rPr>
              <w:t>5.5</w:t>
            </w:r>
            <w:r>
              <w:rPr>
                <w:rFonts w:hint="eastAsia" w:hAnsi="Times New Roman"/>
                <w:sz w:val="23"/>
                <w:szCs w:val="23"/>
              </w:rPr>
              <w:t>米。每个单元组件数量</w:t>
            </w:r>
            <w:r>
              <w:rPr>
                <w:rFonts w:hint="eastAsia" w:hAnsi="Times New Roman"/>
                <w:sz w:val="23"/>
                <w:szCs w:val="23"/>
                <w:lang w:val="en-US" w:eastAsia="zh-CN"/>
              </w:rPr>
              <w:t>40</w:t>
            </w:r>
            <w:r>
              <w:rPr>
                <w:rFonts w:hint="eastAsia" w:hAnsi="Times New Roman"/>
                <w:sz w:val="23"/>
                <w:szCs w:val="23"/>
              </w:rPr>
              <w:t>块</w:t>
            </w:r>
            <w:r>
              <w:rPr>
                <w:rFonts w:hint="eastAsia" w:hAnsi="Times New Roman"/>
                <w:sz w:val="23"/>
                <w:szCs w:val="23"/>
                <w:lang w:eastAsia="zh-CN"/>
              </w:rPr>
              <w:t>和</w:t>
            </w:r>
            <w:r>
              <w:rPr>
                <w:rFonts w:hint="eastAsia" w:hAnsi="Times New Roman"/>
                <w:sz w:val="23"/>
                <w:szCs w:val="23"/>
                <w:lang w:val="en-US" w:eastAsia="zh-CN"/>
              </w:rPr>
              <w:t>20块</w:t>
            </w:r>
            <w:r>
              <w:rPr>
                <w:rFonts w:hint="eastAsia" w:hAnsi="Times New Roman"/>
                <w:sz w:val="23"/>
                <w:szCs w:val="23"/>
              </w:rPr>
              <w:t>，分为两个组串</w:t>
            </w:r>
            <w:r>
              <w:rPr>
                <w:rFonts w:hint="eastAsia" w:hAnsi="Times New Roman"/>
                <w:sz w:val="23"/>
                <w:szCs w:val="23"/>
                <w:lang w:eastAsia="zh-CN"/>
              </w:rPr>
              <w:t>和一个组串</w:t>
            </w:r>
            <w:r>
              <w:rPr>
                <w:rFonts w:hint="eastAsia" w:hAnsi="Times New Roman"/>
                <w:sz w:val="23"/>
                <w:szCs w:val="23"/>
              </w:rPr>
              <w:t>。</w:t>
            </w:r>
          </w:p>
          <w:p>
            <w:pPr>
              <w:pStyle w:val="9"/>
              <w:numPr>
                <w:ilvl w:val="2"/>
                <w:numId w:val="2"/>
              </w:numPr>
              <w:spacing w:line="600" w:lineRule="exact"/>
              <w:ind w:left="0" w:firstLine="460"/>
              <w:jc w:val="left"/>
              <w:rPr>
                <w:rFonts w:hAnsi="Times New Roman"/>
                <w:sz w:val="23"/>
                <w:szCs w:val="23"/>
              </w:rPr>
            </w:pPr>
            <w:r>
              <w:rPr>
                <w:rFonts w:hint="eastAsia" w:hAnsi="Times New Roman"/>
                <w:sz w:val="23"/>
                <w:szCs w:val="23"/>
              </w:rPr>
              <w:t>本工程光伏系统和直流系统采用“分散发电、分散逆变”的技术方案。各区域安装容量为</w:t>
            </w:r>
            <w:r>
              <w:rPr>
                <w:rFonts w:hint="eastAsia" w:hAnsi="Times New Roman"/>
                <w:sz w:val="23"/>
                <w:szCs w:val="23"/>
                <w:lang w:val="en-US" w:eastAsia="zh-CN"/>
              </w:rPr>
              <w:t>1.6</w:t>
            </w:r>
            <w:r>
              <w:rPr>
                <w:rFonts w:hint="eastAsia" w:hAnsi="Times New Roman"/>
                <w:sz w:val="23"/>
                <w:szCs w:val="23"/>
              </w:rPr>
              <w:t>MW；每</w:t>
            </w:r>
            <w:r>
              <w:rPr>
                <w:rFonts w:hint="eastAsia" w:hAnsi="Times New Roman"/>
                <w:sz w:val="23"/>
                <w:szCs w:val="23"/>
                <w:lang w:val="en-US" w:eastAsia="zh-CN"/>
              </w:rPr>
              <w:t>20</w:t>
            </w:r>
            <w:r>
              <w:rPr>
                <w:rFonts w:hint="eastAsia" w:hAnsi="Times New Roman"/>
                <w:sz w:val="23"/>
                <w:szCs w:val="23"/>
              </w:rPr>
              <w:t>块组件为一个组串，每</w:t>
            </w:r>
            <w:r>
              <w:rPr>
                <w:rFonts w:hint="eastAsia" w:hAnsi="Times New Roman"/>
                <w:sz w:val="23"/>
                <w:szCs w:val="23"/>
                <w:lang w:val="en-US" w:eastAsia="zh-CN"/>
              </w:rPr>
              <w:t>6</w:t>
            </w:r>
            <w:r>
              <w:rPr>
                <w:rFonts w:hint="eastAsia" w:hAnsi="Times New Roman"/>
                <w:sz w:val="23"/>
                <w:szCs w:val="23"/>
              </w:rPr>
              <w:t>个组串接入一台28KW组串型逆变器，每6台逆变器接入一个交流汇流箱，然后再接入35KV升压变电站。</w:t>
            </w:r>
            <w:r>
              <w:rPr>
                <w:rFonts w:hint="eastAsia" w:hAnsi="Times New Roman"/>
                <w:sz w:val="23"/>
                <w:szCs w:val="23"/>
                <w:lang w:eastAsia="zh-CN"/>
              </w:rPr>
              <w:t>每个</w:t>
            </w:r>
            <w:r>
              <w:rPr>
                <w:rFonts w:hint="eastAsia" w:hAnsi="Times New Roman"/>
                <w:sz w:val="23"/>
                <w:szCs w:val="23"/>
              </w:rPr>
              <w:t>区域箱变容量</w:t>
            </w:r>
            <w:r>
              <w:rPr>
                <w:rFonts w:hint="eastAsia" w:hAnsi="Times New Roman"/>
                <w:sz w:val="23"/>
                <w:szCs w:val="23"/>
                <w:lang w:val="en-US" w:eastAsia="zh-CN"/>
              </w:rPr>
              <w:t>16</w:t>
            </w:r>
            <w:r>
              <w:rPr>
                <w:rFonts w:hint="eastAsia" w:hAnsi="Times New Roman"/>
                <w:sz w:val="23"/>
                <w:szCs w:val="23"/>
              </w:rPr>
              <w:t>00KVA。箱变采用油浸式变压器。</w:t>
            </w:r>
          </w:p>
          <w:p>
            <w:pPr>
              <w:pStyle w:val="9"/>
              <w:numPr>
                <w:ilvl w:val="1"/>
                <w:numId w:val="2"/>
              </w:numPr>
              <w:spacing w:line="600" w:lineRule="exact"/>
              <w:ind w:left="0" w:firstLine="198" w:firstLineChars="0"/>
              <w:jc w:val="left"/>
              <w:rPr>
                <w:rFonts w:hAnsi="Times New Roman"/>
                <w:sz w:val="28"/>
                <w:szCs w:val="28"/>
              </w:rPr>
            </w:pPr>
            <w:r>
              <w:rPr>
                <w:rFonts w:hint="eastAsia" w:ascii="黑体" w:hAnsi="黑体" w:eastAsia="黑体"/>
                <w:sz w:val="28"/>
                <w:szCs w:val="28"/>
              </w:rPr>
              <w:t>电气交流部分</w:t>
            </w:r>
            <w:r>
              <w:rPr>
                <w:rFonts w:hint="eastAsia" w:hAnsi="Times New Roman"/>
                <w:sz w:val="28"/>
                <w:szCs w:val="28"/>
              </w:rPr>
              <w:t>：</w:t>
            </w:r>
          </w:p>
          <w:p>
            <w:pPr>
              <w:pStyle w:val="9"/>
              <w:numPr>
                <w:ilvl w:val="2"/>
                <w:numId w:val="2"/>
              </w:numPr>
              <w:spacing w:line="600" w:lineRule="exact"/>
              <w:ind w:left="0" w:firstLine="198" w:firstLineChars="0"/>
              <w:jc w:val="left"/>
              <w:rPr>
                <w:rFonts w:hAnsi="Times New Roman"/>
                <w:sz w:val="23"/>
                <w:szCs w:val="23"/>
              </w:rPr>
            </w:pPr>
            <w:r>
              <w:rPr>
                <w:rFonts w:hint="eastAsia" w:hAnsi="Times New Roman"/>
                <w:sz w:val="23"/>
                <w:szCs w:val="23"/>
              </w:rPr>
              <w:t>工程采用“分散逆变、集中控制、单点并网”的技术方案。</w:t>
            </w:r>
          </w:p>
          <w:p>
            <w:pPr>
              <w:pStyle w:val="9"/>
              <w:numPr>
                <w:ilvl w:val="2"/>
                <w:numId w:val="2"/>
              </w:numPr>
              <w:spacing w:line="600" w:lineRule="exact"/>
              <w:ind w:left="0" w:firstLine="198" w:firstLineChars="0"/>
              <w:jc w:val="left"/>
              <w:rPr>
                <w:rFonts w:hAnsi="Times New Roman"/>
                <w:sz w:val="23"/>
                <w:szCs w:val="23"/>
              </w:rPr>
            </w:pPr>
            <w:r>
              <w:rPr>
                <w:rFonts w:hint="eastAsia" w:hAnsi="Times New Roman"/>
                <w:sz w:val="23"/>
                <w:szCs w:val="23"/>
              </w:rPr>
              <w:t>太阳能通过光伏组件转化为直流电力，通过组串型逆变器转换为交流电，各光伏子阵列采用0.48~35kV分散布置第一次升压，每53台逆变器经9台交流汇流箱汇流后通过1台容量为1.6MVA</w:t>
            </w:r>
            <w:r>
              <w:rPr>
                <w:rFonts w:hint="eastAsia" w:hAnsi="Times New Roman"/>
                <w:sz w:val="23"/>
                <w:szCs w:val="23"/>
                <w:lang w:eastAsia="zh-CN"/>
              </w:rPr>
              <w:t>美式</w:t>
            </w:r>
            <w:r>
              <w:rPr>
                <w:rFonts w:hint="eastAsia" w:hAnsi="Times New Roman"/>
                <w:sz w:val="23"/>
                <w:szCs w:val="23"/>
              </w:rPr>
              <w:t>箱变升压至35kV电压等级作为1个配电单元，将7个配电单元通过35kV电缆汇集为1个联合单元，分4个联合单元通过4回35kV电缆接入110kV升压站</w:t>
            </w:r>
            <w:r>
              <w:rPr>
                <w:rFonts w:hint="eastAsia" w:hAnsi="Times New Roman"/>
                <w:sz w:val="23"/>
                <w:szCs w:val="23"/>
                <w:lang w:eastAsia="zh-CN"/>
              </w:rPr>
              <w:t>。</w:t>
            </w:r>
            <w:r>
              <w:rPr>
                <w:rFonts w:hint="eastAsia" w:hAnsi="Times New Roman"/>
                <w:sz w:val="23"/>
                <w:szCs w:val="23"/>
              </w:rPr>
              <w:t>高低压配电间内布置有进线柜、出线柜、站用电柜、电能质量检测柜、SVG装置等。继电保护控制室内设有操作员站、电子设备屏、直流屏、保护屏、计量柜等。</w:t>
            </w:r>
          </w:p>
          <w:p>
            <w:pPr>
              <w:pStyle w:val="9"/>
              <w:numPr>
                <w:ilvl w:val="1"/>
                <w:numId w:val="2"/>
              </w:numPr>
              <w:spacing w:line="600" w:lineRule="exact"/>
              <w:ind w:left="0" w:firstLine="198" w:firstLineChars="0"/>
              <w:jc w:val="left"/>
              <w:rPr>
                <w:rFonts w:ascii="黑体" w:hAnsi="黑体" w:eastAsia="黑体"/>
                <w:sz w:val="28"/>
                <w:szCs w:val="28"/>
              </w:rPr>
            </w:pPr>
            <w:r>
              <w:rPr>
                <w:rFonts w:hint="eastAsia" w:ascii="黑体" w:hAnsi="黑体" w:eastAsia="黑体"/>
                <w:sz w:val="28"/>
                <w:szCs w:val="28"/>
              </w:rPr>
              <w:t>保护部分：</w:t>
            </w:r>
          </w:p>
          <w:p>
            <w:pPr>
              <w:pStyle w:val="9"/>
              <w:numPr>
                <w:ilvl w:val="2"/>
                <w:numId w:val="2"/>
              </w:numPr>
              <w:spacing w:line="600" w:lineRule="exact"/>
              <w:ind w:left="0" w:firstLine="198" w:firstLineChars="0"/>
              <w:jc w:val="left"/>
              <w:rPr>
                <w:rFonts w:ascii="宋体" w:hAnsi="宋体"/>
                <w:sz w:val="23"/>
                <w:szCs w:val="23"/>
              </w:rPr>
            </w:pPr>
            <w:r>
              <w:rPr>
                <w:rFonts w:hint="eastAsia" w:ascii="宋体" w:hAnsi="宋体"/>
                <w:sz w:val="23"/>
                <w:szCs w:val="23"/>
              </w:rPr>
              <w:t>升压变设置高温报警和超温跳闸保护，动作后跳高低压侧开关；35KV高压开关柜上装设测控保护装置。设过电流保护、零序过电流保护、方向保护；测控保护装置将所有信息上传至监控系统；低压开关柜上所有信息上传至监控系统；低压进线开关具备过流脱扣功能。逆变器具备极性反接保护、短路保护、孤岛效应保护、过热保护、过载保护、接地保护等；装置异常时自动脱离系统。</w:t>
            </w:r>
          </w:p>
          <w:p>
            <w:pPr>
              <w:pStyle w:val="9"/>
              <w:numPr>
                <w:ilvl w:val="2"/>
                <w:numId w:val="2"/>
              </w:numPr>
              <w:spacing w:line="600" w:lineRule="exact"/>
              <w:ind w:left="0" w:firstLine="198" w:firstLineChars="0"/>
              <w:jc w:val="left"/>
              <w:rPr>
                <w:rFonts w:ascii="宋体" w:hAnsi="宋体"/>
                <w:sz w:val="23"/>
                <w:szCs w:val="23"/>
              </w:rPr>
            </w:pPr>
            <w:r>
              <w:rPr>
                <w:rFonts w:hint="eastAsia" w:ascii="宋体" w:hAnsi="宋体"/>
                <w:sz w:val="23"/>
                <w:szCs w:val="23"/>
              </w:rPr>
              <w:t>全站设1套计算机监控系统，其监控范围有：电池组件和逆变器、汇流箱、35KV箱式变电站、站用电和直流系统等。</w:t>
            </w:r>
          </w:p>
          <w:p>
            <w:pPr>
              <w:pStyle w:val="9"/>
              <w:numPr>
                <w:ilvl w:val="1"/>
                <w:numId w:val="2"/>
              </w:numPr>
              <w:spacing w:line="600" w:lineRule="exact"/>
              <w:ind w:left="0" w:firstLine="198" w:firstLineChars="0"/>
              <w:jc w:val="left"/>
              <w:rPr>
                <w:rFonts w:ascii="黑体" w:hAnsi="黑体" w:eastAsia="黑体"/>
                <w:sz w:val="28"/>
                <w:szCs w:val="28"/>
              </w:rPr>
            </w:pPr>
            <w:r>
              <w:rPr>
                <w:rFonts w:hint="eastAsia" w:ascii="黑体" w:hAnsi="黑体" w:eastAsia="黑体"/>
                <w:sz w:val="28"/>
                <w:szCs w:val="28"/>
              </w:rPr>
              <w:t>计量</w:t>
            </w:r>
          </w:p>
          <w:p>
            <w:pPr>
              <w:pStyle w:val="9"/>
              <w:spacing w:line="600" w:lineRule="exact"/>
              <w:ind w:firstLine="460"/>
              <w:jc w:val="left"/>
              <w:rPr>
                <w:rFonts w:ascii="宋体" w:hAnsi="宋体"/>
                <w:sz w:val="23"/>
                <w:szCs w:val="23"/>
              </w:rPr>
            </w:pPr>
            <w:r>
              <w:rPr>
                <w:rFonts w:hint="eastAsia" w:ascii="宋体" w:hAnsi="宋体"/>
                <w:sz w:val="23"/>
                <w:szCs w:val="23"/>
              </w:rPr>
              <w:t>站内计量装置设置在本站</w:t>
            </w:r>
            <w:r>
              <w:rPr>
                <w:rFonts w:hint="eastAsia" w:ascii="宋体" w:hAnsi="宋体"/>
                <w:sz w:val="23"/>
                <w:szCs w:val="23"/>
                <w:lang w:val="en-US" w:eastAsia="zh-CN"/>
              </w:rPr>
              <w:t>110</w:t>
            </w:r>
            <w:r>
              <w:rPr>
                <w:rFonts w:hint="eastAsia" w:ascii="宋体" w:hAnsi="宋体"/>
                <w:sz w:val="23"/>
                <w:szCs w:val="23"/>
              </w:rPr>
              <w:t>KV并网侧，分别装设计量电流互感器和电压互感器。</w:t>
            </w:r>
          </w:p>
          <w:p>
            <w:pPr>
              <w:pStyle w:val="9"/>
              <w:numPr>
                <w:ilvl w:val="1"/>
                <w:numId w:val="2"/>
              </w:numPr>
              <w:spacing w:line="600" w:lineRule="exact"/>
              <w:ind w:left="0" w:firstLine="198" w:firstLineChars="0"/>
              <w:jc w:val="left"/>
              <w:rPr>
                <w:rFonts w:ascii="黑体" w:hAnsi="黑体" w:eastAsia="黑体"/>
                <w:sz w:val="28"/>
                <w:szCs w:val="28"/>
              </w:rPr>
            </w:pPr>
            <w:r>
              <w:rPr>
                <w:rFonts w:hint="eastAsia" w:ascii="黑体" w:hAnsi="黑体" w:eastAsia="黑体"/>
                <w:sz w:val="28"/>
                <w:szCs w:val="28"/>
              </w:rPr>
              <w:t>同期</w:t>
            </w:r>
          </w:p>
          <w:p>
            <w:pPr>
              <w:pStyle w:val="9"/>
              <w:spacing w:line="600" w:lineRule="exact"/>
              <w:ind w:firstLine="460"/>
              <w:jc w:val="left"/>
              <w:rPr>
                <w:rFonts w:ascii="宋体" w:hAnsi="宋体"/>
                <w:sz w:val="23"/>
                <w:szCs w:val="23"/>
              </w:rPr>
            </w:pPr>
            <w:r>
              <w:rPr>
                <w:rFonts w:hint="eastAsia" w:ascii="宋体" w:hAnsi="宋体"/>
                <w:sz w:val="23"/>
                <w:szCs w:val="23"/>
              </w:rPr>
              <w:t>本工程选用的组串型逆变器根据电网侧频率、相位自动捕捉同期。</w:t>
            </w:r>
          </w:p>
          <w:p>
            <w:pPr>
              <w:pStyle w:val="9"/>
              <w:spacing w:line="600" w:lineRule="exact"/>
              <w:ind w:firstLine="480"/>
              <w:jc w:val="left"/>
              <w:rPr>
                <w:rFonts w:ascii="宋体" w:hAnsi="宋体"/>
                <w:sz w:val="24"/>
                <w:szCs w:val="24"/>
              </w:rPr>
            </w:pPr>
            <w:r>
              <w:rPr>
                <w:rFonts w:hint="eastAsia" w:ascii="宋体" w:hAnsi="宋体"/>
                <w:sz w:val="24"/>
                <w:szCs w:val="24"/>
              </w:rPr>
              <w:t>3</w:t>
            </w:r>
            <w:r>
              <w:rPr>
                <w:rFonts w:hint="eastAsia" w:ascii="宋体" w:hAnsi="宋体"/>
                <w:sz w:val="28"/>
                <w:szCs w:val="28"/>
              </w:rPr>
              <w:t xml:space="preserve"> 土建部分</w:t>
            </w:r>
          </w:p>
          <w:p>
            <w:pPr>
              <w:pStyle w:val="9"/>
              <w:spacing w:line="600" w:lineRule="exact"/>
              <w:ind w:firstLine="480"/>
              <w:jc w:val="left"/>
              <w:rPr>
                <w:rFonts w:hint="eastAsia" w:ascii="宋体" w:hAnsi="宋体"/>
                <w:sz w:val="28"/>
                <w:szCs w:val="28"/>
              </w:rPr>
            </w:pPr>
            <w:r>
              <w:rPr>
                <w:rFonts w:hint="eastAsia" w:ascii="宋体" w:hAnsi="宋体"/>
                <w:sz w:val="24"/>
                <w:szCs w:val="24"/>
              </w:rPr>
              <w:t xml:space="preserve">3.1 </w:t>
            </w:r>
            <w:r>
              <w:rPr>
                <w:rFonts w:hint="eastAsia" w:ascii="宋体" w:hAnsi="宋体"/>
                <w:sz w:val="28"/>
                <w:szCs w:val="28"/>
              </w:rPr>
              <w:t>建筑物主体工程</w:t>
            </w:r>
          </w:p>
          <w:p>
            <w:pPr>
              <w:numPr>
                <w:numId w:val="0"/>
              </w:numPr>
              <w:spacing w:line="360" w:lineRule="auto"/>
              <w:ind w:leftChars="0"/>
              <w:rPr>
                <w:rFonts w:hint="eastAsia" w:ascii="宋体" w:hAnsi="宋体" w:eastAsia="宋体" w:cs="黑体"/>
                <w:kern w:val="2"/>
                <w:sz w:val="23"/>
                <w:szCs w:val="23"/>
                <w:lang w:val="en-US" w:eastAsia="zh-CN" w:bidi="ar-SA"/>
              </w:rPr>
            </w:pPr>
            <w:r>
              <w:rPr>
                <w:rFonts w:hint="eastAsia" w:ascii="新宋体" w:hAnsi="新宋体" w:eastAsia="新宋体"/>
                <w:sz w:val="24"/>
                <w:lang w:val="en-US" w:eastAsia="zh-CN"/>
              </w:rPr>
              <w:t xml:space="preserve">    </w:t>
            </w:r>
            <w:r>
              <w:rPr>
                <w:rFonts w:hint="eastAsia" w:ascii="宋体" w:hAnsi="宋体" w:eastAsia="宋体" w:cs="黑体"/>
                <w:kern w:val="2"/>
                <w:sz w:val="23"/>
                <w:szCs w:val="23"/>
                <w:lang w:val="en-US" w:eastAsia="zh-CN" w:bidi="ar-SA"/>
              </w:rPr>
              <w:t>综合楼工程</w:t>
            </w:r>
          </w:p>
          <w:p>
            <w:pPr>
              <w:spacing w:line="360" w:lineRule="auto"/>
              <w:rPr>
                <w:rFonts w:hint="eastAsia" w:ascii="宋体" w:hAnsi="宋体" w:eastAsia="宋体" w:cs="黑体"/>
                <w:kern w:val="2"/>
                <w:sz w:val="23"/>
                <w:szCs w:val="23"/>
                <w:lang w:val="en-US" w:eastAsia="zh-CN" w:bidi="ar-SA"/>
              </w:rPr>
            </w:pPr>
            <w:r>
              <w:rPr>
                <w:rFonts w:hint="eastAsia" w:ascii="宋体" w:hAnsi="宋体" w:eastAsia="宋体" w:cs="黑体"/>
                <w:kern w:val="2"/>
                <w:sz w:val="23"/>
                <w:szCs w:val="23"/>
                <w:lang w:val="en-US" w:eastAsia="zh-CN" w:bidi="ar-SA"/>
              </w:rPr>
              <w:t xml:space="preserve">    本建筑物为框架结构，建筑面积为综合楼为</w:t>
            </w:r>
            <w:r>
              <w:rPr>
                <w:rFonts w:hint="eastAsia" w:ascii="宋体" w:hAnsi="宋体" w:eastAsia="宋体" w:cs="黑体"/>
                <w:kern w:val="2"/>
                <w:sz w:val="23"/>
                <w:szCs w:val="23"/>
                <w:lang w:val="en-US" w:eastAsia="zh-CN" w:bidi="ar-SA"/>
              </w:rPr>
              <w:object>
                <v:shape id="图片 1" type="#_x0000_t75" style="height:13.95pt;width:36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Equation.3" ShapeID="图片 1" DrawAspect="Content" ObjectID="_1" r:id="rId6"/>
              </w:object>
            </w:r>
            <w:r>
              <w:rPr>
                <w:rFonts w:hint="eastAsia" w:ascii="宋体" w:hAnsi="宋体" w:eastAsia="宋体" w:cs="黑体"/>
                <w:kern w:val="2"/>
                <w:sz w:val="23"/>
                <w:szCs w:val="23"/>
                <w:lang w:val="en-US" w:eastAsia="zh-CN" w:bidi="ar-SA"/>
              </w:rPr>
              <w:t>㎡，建筑高度为11.7m，室内地坪设计标高+0.000相当于1985国家高程基准的510.45m。基础为C30钢筋混凝土独立基础，基础及上部混凝土结构强度为C25，+0.000以下墙体采用MU10混凝土标准砖实砌，M7.5水泥砂浆砌筑；+0.000以上墙体，采用MU10烧结多孔砖实砌填充墙，M5.0混合砂浆砌筑；卫生间采用防滑砖地面，成品不锈钢洗手盆一套；门厅、走廊、室外台阶采用磨光花岗石板；中控继保室、低压配电室、通讯机房为防静电架空地板；开关柜、蓄电池室为全瓷地砖；工具间为水泥砂浆压光地面；门窗为塑钢门窗及防火门；内墙面采用乳胶漆墙面，釉面砖墙裙；外墙为弹性涂料；卫生间顶棚轻钢龙骨铝合金板吊顶，走廊、门厅、会议室、中控室、低压配电室为铝合金板吊顶，其余均采用乳胶漆顶棚；屋面防水面层为刚柔性双层防水平屋面，采用STP超薄绝热保温板，增加60mm厚钢筋混凝土一层。</w:t>
            </w:r>
          </w:p>
          <w:p>
            <w:pPr>
              <w:numPr>
                <w:numId w:val="0"/>
              </w:numPr>
              <w:spacing w:line="360" w:lineRule="auto"/>
              <w:ind w:leftChars="0"/>
              <w:rPr>
                <w:rFonts w:hint="eastAsia" w:ascii="宋体" w:hAnsi="宋体" w:eastAsia="宋体" w:cs="黑体"/>
                <w:kern w:val="2"/>
                <w:sz w:val="23"/>
                <w:szCs w:val="23"/>
                <w:lang w:val="en-US" w:eastAsia="zh-CN" w:bidi="ar-SA"/>
              </w:rPr>
            </w:pPr>
            <w:r>
              <w:rPr>
                <w:rFonts w:hint="eastAsia" w:ascii="宋体" w:hAnsi="宋体" w:eastAsia="宋体" w:cs="黑体"/>
                <w:kern w:val="2"/>
                <w:sz w:val="23"/>
                <w:szCs w:val="23"/>
                <w:lang w:val="en-US" w:eastAsia="zh-CN" w:bidi="ar-SA"/>
              </w:rPr>
              <w:t xml:space="preserve">    升压站配电房工程</w:t>
            </w:r>
          </w:p>
          <w:p>
            <w:pPr>
              <w:spacing w:line="360" w:lineRule="auto"/>
              <w:ind w:firstLine="480" w:firstLineChars="200"/>
              <w:rPr>
                <w:rFonts w:hint="eastAsia" w:ascii="宋体" w:hAnsi="宋体"/>
                <w:sz w:val="28"/>
                <w:szCs w:val="28"/>
              </w:rPr>
            </w:pPr>
            <w:r>
              <w:rPr>
                <w:rFonts w:hint="eastAsia" w:ascii="宋体" w:hAnsi="宋体" w:eastAsia="宋体" w:cs="黑体"/>
                <w:kern w:val="2"/>
                <w:sz w:val="23"/>
                <w:szCs w:val="23"/>
                <w:lang w:val="en-US" w:eastAsia="zh-CN" w:bidi="ar-SA"/>
              </w:rPr>
              <w:t>本建筑物为框架结构，升压站为339.1㎡，建筑高度为5.1m；室内地坪设计标高+0.000相当于1985国家高程基准的510.45m。基础为C25钢筋混凝土独立基础，基础及上部混凝土结构强度为C25，+0.000以下墙体采用MU20增压灰砂砖实砌，M1.0水泥砂浆砌筑；+0.000以上墙体，采用MU15烧结多孔砖实砌填充墙，M1.0混合砂浆砌筑；卫生间、洗衣间采用防滑白色砖地面，MU15烧结多孔砖墙面；门厅、走廊、台阶、楼梯、厨房、餐厅、办公室采用磨光花岗石板；、宿舍、活动室、会议室、仓库为自流平地面；门窗为塑钢门窗、木塑门及防火门；内墙面采用乳胶漆墙面；外墙为弹性涂料；卫生间顶棚轻钢龙骨铝合金板吊顶，走廊、门厅、楼梯间为铝合金方板吊顶，宿舍走道、会议室及值班室局部采用石膏板吊顶。其余均采用乳胶漆顶棚；屋面防水面层为刚柔性双层防水平屋面。</w:t>
            </w:r>
          </w:p>
          <w:p>
            <w:pPr>
              <w:pStyle w:val="9"/>
              <w:spacing w:line="600" w:lineRule="exact"/>
              <w:ind w:firstLine="480"/>
              <w:jc w:val="left"/>
              <w:rPr>
                <w:rFonts w:ascii="宋体" w:hAnsi="宋体"/>
                <w:sz w:val="28"/>
                <w:szCs w:val="28"/>
              </w:rPr>
            </w:pPr>
            <w:r>
              <w:rPr>
                <w:rFonts w:hint="eastAsia" w:ascii="宋体" w:hAnsi="宋体"/>
                <w:sz w:val="24"/>
                <w:szCs w:val="24"/>
              </w:rPr>
              <w:t>3.2</w:t>
            </w:r>
            <w:r>
              <w:rPr>
                <w:rFonts w:hint="eastAsia" w:ascii="宋体" w:hAnsi="宋体"/>
                <w:sz w:val="28"/>
                <w:szCs w:val="28"/>
              </w:rPr>
              <w:t xml:space="preserve"> 太阳能组件基础</w:t>
            </w:r>
          </w:p>
          <w:p>
            <w:pPr>
              <w:pStyle w:val="9"/>
              <w:spacing w:line="600" w:lineRule="exact"/>
              <w:ind w:firstLine="480"/>
              <w:jc w:val="left"/>
              <w:rPr>
                <w:rFonts w:ascii="宋体" w:hAnsi="宋体"/>
                <w:sz w:val="24"/>
                <w:szCs w:val="24"/>
              </w:rPr>
            </w:pPr>
            <w:r>
              <w:rPr>
                <w:rFonts w:hint="eastAsia" w:ascii="宋体" w:hAnsi="宋体"/>
                <w:sz w:val="24"/>
                <w:szCs w:val="24"/>
              </w:rPr>
              <w:t>太阳能组件支架为钢结构支架，基础为</w:t>
            </w:r>
            <w:r>
              <w:rPr>
                <w:rFonts w:hint="eastAsia" w:ascii="宋体" w:hAnsi="宋体"/>
                <w:sz w:val="24"/>
                <w:szCs w:val="24"/>
                <w:lang w:val="en-US" w:eastAsia="zh-CN"/>
              </w:rPr>
              <w:t>PC300A7</w:t>
            </w:r>
            <w:bookmarkStart w:id="0" w:name="_GoBack"/>
            <w:bookmarkEnd w:id="0"/>
            <w:r>
              <w:rPr>
                <w:rFonts w:hint="eastAsia" w:ascii="宋体" w:hAnsi="宋体"/>
                <w:sz w:val="24"/>
                <w:szCs w:val="24"/>
                <w:lang w:val="en-US" w:eastAsia="zh-CN"/>
              </w:rPr>
              <w:t>0预制管桩</w:t>
            </w:r>
            <w:r>
              <w:rPr>
                <w:rFonts w:hint="eastAsia" w:ascii="宋体" w:hAnsi="宋体"/>
                <w:sz w:val="24"/>
                <w:szCs w:val="24"/>
              </w:rPr>
              <w:t>基础。</w:t>
            </w:r>
          </w:p>
          <w:p>
            <w:pPr>
              <w:pStyle w:val="9"/>
              <w:spacing w:line="600" w:lineRule="exact"/>
              <w:ind w:firstLine="480"/>
              <w:jc w:val="left"/>
              <w:rPr>
                <w:rFonts w:ascii="宋体" w:hAnsi="宋体"/>
                <w:sz w:val="24"/>
                <w:szCs w:val="24"/>
              </w:rPr>
            </w:pPr>
            <w:r>
              <w:rPr>
                <w:rFonts w:hint="eastAsia" w:ascii="宋体" w:hAnsi="宋体"/>
                <w:sz w:val="24"/>
                <w:szCs w:val="24"/>
              </w:rPr>
              <w:t>3.3 暖通</w:t>
            </w:r>
          </w:p>
          <w:p>
            <w:pPr>
              <w:pStyle w:val="9"/>
              <w:spacing w:line="600" w:lineRule="exact"/>
              <w:ind w:firstLine="480"/>
              <w:jc w:val="left"/>
              <w:rPr>
                <w:rFonts w:ascii="宋体" w:hAnsi="宋体"/>
                <w:sz w:val="24"/>
                <w:szCs w:val="24"/>
              </w:rPr>
            </w:pPr>
            <w:r>
              <w:rPr>
                <w:rFonts w:hint="eastAsia" w:ascii="宋体" w:hAnsi="宋体"/>
                <w:sz w:val="24"/>
                <w:szCs w:val="24"/>
              </w:rPr>
              <w:t>根据电气设备的运行要求，配电室及控制室设置单元式风冷空调机组，升压变室采用自然进风，自然排风的通风方式。</w:t>
            </w:r>
          </w:p>
          <w:p>
            <w:pPr>
              <w:pStyle w:val="9"/>
              <w:spacing w:line="600" w:lineRule="exact"/>
              <w:ind w:firstLine="480"/>
              <w:jc w:val="left"/>
              <w:rPr>
                <w:rFonts w:ascii="宋体" w:hAnsi="宋体"/>
                <w:sz w:val="24"/>
                <w:szCs w:val="24"/>
              </w:rPr>
            </w:pPr>
            <w:r>
              <w:rPr>
                <w:rFonts w:hint="eastAsia" w:ascii="宋体" w:hAnsi="宋体"/>
                <w:sz w:val="24"/>
                <w:szCs w:val="24"/>
              </w:rPr>
              <w:t>3.4 消防</w:t>
            </w:r>
          </w:p>
          <w:p>
            <w:pPr>
              <w:pStyle w:val="9"/>
              <w:spacing w:line="600" w:lineRule="exact"/>
              <w:jc w:val="left"/>
              <w:rPr>
                <w:rFonts w:ascii="宋体" w:hAnsi="宋体"/>
                <w:sz w:val="24"/>
                <w:szCs w:val="24"/>
              </w:rPr>
            </w:pPr>
            <w:r>
              <w:rPr>
                <w:rFonts w:hint="eastAsia" w:ascii="Arial" w:hAnsi="Arial" w:cs="Arial"/>
                <w:color w:val="000000"/>
                <w:szCs w:val="21"/>
                <w:shd w:val="clear" w:color="auto" w:fill="FFFFFF"/>
              </w:rPr>
              <w:t>中控楼为</w:t>
            </w:r>
            <w:r>
              <w:rPr>
                <w:rFonts w:ascii="Arial" w:hAnsi="Arial" w:cs="Arial"/>
                <w:color w:val="000000"/>
                <w:szCs w:val="21"/>
                <w:shd w:val="clear" w:color="auto" w:fill="FFFFFF"/>
              </w:rPr>
              <w:t>一级耐火等级建</w:t>
            </w:r>
            <w:r>
              <w:rPr>
                <w:rFonts w:ascii="Arial" w:hAnsi="Arial" w:cs="Arial"/>
                <w:szCs w:val="21"/>
                <w:shd w:val="clear" w:color="auto" w:fill="FFFFFF"/>
              </w:rPr>
              <w:t>筑</w:t>
            </w:r>
            <w:r>
              <w:rPr>
                <w:rFonts w:hint="eastAsia" w:ascii="Arial" w:hAnsi="Arial" w:cs="Arial"/>
                <w:szCs w:val="21"/>
                <w:shd w:val="clear" w:color="auto" w:fill="FFFFFF"/>
              </w:rPr>
              <w:t>，高低压</w:t>
            </w:r>
            <w:r>
              <w:rPr>
                <w:rFonts w:ascii="宋体" w:hAnsi="宋体"/>
                <w:szCs w:val="21"/>
                <w:shd w:val="clear" w:color="auto" w:fill="FFFFFF"/>
              </w:rPr>
              <w:t>配备手提式干粉灭火器</w:t>
            </w:r>
            <w:r>
              <w:rPr>
                <w:rFonts w:hint="eastAsia" w:ascii="宋体" w:hAnsi="宋体"/>
                <w:szCs w:val="21"/>
                <w:shd w:val="clear" w:color="auto" w:fill="FFFFFF"/>
              </w:rPr>
              <w:t>，</w:t>
            </w:r>
            <w:r>
              <w:rPr>
                <w:rFonts w:ascii="宋体" w:hAnsi="宋体"/>
                <w:szCs w:val="18"/>
                <w:shd w:val="clear" w:color="auto" w:fill="FFFFFF"/>
              </w:rPr>
              <w:t>粘贴禁止烟火等警示标志</w:t>
            </w:r>
            <w:r>
              <w:rPr>
                <w:rFonts w:hint="eastAsia" w:ascii="宋体" w:hAnsi="宋体"/>
                <w:szCs w:val="18"/>
                <w:shd w:val="clear" w:color="auto" w:fill="FFFFFF"/>
              </w:rPr>
              <w:t>；</w:t>
            </w:r>
          </w:p>
          <w:p>
            <w:pPr>
              <w:pStyle w:val="9"/>
              <w:spacing w:line="600" w:lineRule="exact"/>
              <w:ind w:firstLine="480"/>
              <w:jc w:val="left"/>
              <w:rPr>
                <w:rFonts w:ascii="宋体" w:hAnsi="宋体"/>
                <w:sz w:val="24"/>
                <w:szCs w:val="24"/>
              </w:rPr>
            </w:pPr>
            <w:r>
              <w:rPr>
                <w:rFonts w:hint="eastAsia" w:ascii="宋体" w:hAnsi="宋体"/>
                <w:sz w:val="24"/>
                <w:szCs w:val="24"/>
              </w:rPr>
              <w:t>3.5 冲洗水</w:t>
            </w:r>
          </w:p>
          <w:p>
            <w:pPr>
              <w:pStyle w:val="9"/>
              <w:spacing w:line="600" w:lineRule="exact"/>
              <w:ind w:firstLine="480"/>
              <w:jc w:val="left"/>
              <w:rPr>
                <w:rFonts w:ascii="宋体" w:hAnsi="宋体"/>
                <w:sz w:val="24"/>
                <w:szCs w:val="24"/>
              </w:rPr>
            </w:pPr>
            <w:r>
              <w:rPr>
                <w:rFonts w:hint="eastAsia" w:ascii="宋体" w:hAnsi="宋体"/>
                <w:sz w:val="24"/>
                <w:szCs w:val="24"/>
              </w:rPr>
              <w:t>本工程在各光伏组件处设置临时的冲洗水点，采用的方式是用</w:t>
            </w:r>
            <w:r>
              <w:rPr>
                <w:rFonts w:hint="eastAsia" w:ascii="宋体" w:hAnsi="宋体"/>
                <w:sz w:val="24"/>
                <w:szCs w:val="24"/>
                <w:lang w:eastAsia="zh-CN"/>
              </w:rPr>
              <w:t>市政自来</w:t>
            </w:r>
            <w:r>
              <w:rPr>
                <w:rFonts w:hint="eastAsia" w:ascii="宋体" w:hAnsi="宋体"/>
                <w:sz w:val="24"/>
                <w:szCs w:val="24"/>
              </w:rPr>
              <w:t>水，在各阵列间穿梭，用高压水枪冲洗，并用拖把拖干净的方式。</w:t>
            </w:r>
          </w:p>
          <w:p>
            <w:pPr>
              <w:pStyle w:val="9"/>
              <w:spacing w:line="600" w:lineRule="exact"/>
              <w:ind w:firstLine="480"/>
              <w:jc w:val="left"/>
              <w:rPr>
                <w:rFonts w:ascii="宋体" w:hAnsi="宋体"/>
                <w:sz w:val="24"/>
                <w:szCs w:val="24"/>
              </w:rPr>
            </w:pPr>
            <w:r>
              <w:rPr>
                <w:rFonts w:hint="eastAsia" w:ascii="宋体" w:hAnsi="宋体"/>
                <w:sz w:val="24"/>
                <w:szCs w:val="24"/>
              </w:rPr>
              <w:t>3.6 照明</w:t>
            </w:r>
          </w:p>
          <w:p>
            <w:pPr>
              <w:pStyle w:val="9"/>
              <w:spacing w:line="600" w:lineRule="exact"/>
              <w:ind w:firstLine="480"/>
              <w:jc w:val="left"/>
              <w:rPr>
                <w:rFonts w:ascii="宋体" w:hAnsi="宋体"/>
                <w:sz w:val="24"/>
                <w:szCs w:val="24"/>
              </w:rPr>
            </w:pPr>
            <w:r>
              <w:rPr>
                <w:rFonts w:hint="eastAsia" w:ascii="宋体" w:hAnsi="宋体"/>
                <w:sz w:val="24"/>
                <w:szCs w:val="24"/>
              </w:rPr>
              <w:t>站内控制室装设荧光灯，各配电装置室采用广照型，配招行及各种乳白色玻璃罩照明器。本站设置部分事故照明灯，灯具采用原有照明配电电源，并有部分照明灯自带蓄电池，以满足突发情况下照明需求。</w:t>
            </w:r>
          </w:p>
          <w:p>
            <w:pPr>
              <w:pStyle w:val="9"/>
              <w:spacing w:line="600" w:lineRule="exact"/>
              <w:ind w:firstLine="480"/>
              <w:jc w:val="left"/>
              <w:rPr>
                <w:rFonts w:ascii="宋体" w:hAnsi="宋体"/>
                <w:sz w:val="24"/>
                <w:szCs w:val="24"/>
              </w:rPr>
            </w:pPr>
            <w:r>
              <w:rPr>
                <w:rFonts w:hint="eastAsia" w:ascii="宋体" w:hAnsi="宋体"/>
                <w:sz w:val="24"/>
                <w:szCs w:val="24"/>
              </w:rPr>
              <w:t>3.7 防雷及接地</w:t>
            </w:r>
          </w:p>
          <w:p>
            <w:pPr>
              <w:pStyle w:val="9"/>
              <w:spacing w:line="600" w:lineRule="exact"/>
              <w:ind w:firstLine="480"/>
              <w:jc w:val="left"/>
              <w:rPr>
                <w:rFonts w:ascii="宋体" w:hAnsi="宋体"/>
                <w:sz w:val="24"/>
                <w:szCs w:val="24"/>
              </w:rPr>
            </w:pPr>
            <w:r>
              <w:rPr>
                <w:rFonts w:hint="eastAsia" w:ascii="宋体" w:hAnsi="宋体"/>
                <w:sz w:val="24"/>
                <w:szCs w:val="24"/>
              </w:rPr>
              <w:t>3.7.1 电源系统中性点接地方式。</w:t>
            </w:r>
          </w:p>
          <w:p>
            <w:pPr>
              <w:pStyle w:val="9"/>
              <w:spacing w:line="600" w:lineRule="exact"/>
              <w:ind w:firstLine="480"/>
              <w:jc w:val="left"/>
              <w:rPr>
                <w:rFonts w:ascii="宋体" w:hAnsi="宋体"/>
                <w:sz w:val="24"/>
                <w:szCs w:val="24"/>
              </w:rPr>
            </w:pPr>
            <w:r>
              <w:rPr>
                <w:rFonts w:hint="eastAsia" w:ascii="宋体" w:hAnsi="宋体"/>
                <w:sz w:val="24"/>
                <w:szCs w:val="24"/>
              </w:rPr>
              <w:t>3.7.2  本工程电气配电装置采用全户内布置，为使光伏电池组件和电气建筑在受到直击雷和感应雷的雷击时能有可靠地保护，在光伏电池组件支架的非导电体的屋顶上装设了避雷带或避雷针作为防雷保护，并且避雷带设有数个独立引下线。</w:t>
            </w:r>
          </w:p>
          <w:p>
            <w:pPr>
              <w:pStyle w:val="9"/>
              <w:spacing w:line="600" w:lineRule="exact"/>
              <w:ind w:firstLine="480"/>
              <w:jc w:val="left"/>
              <w:rPr>
                <w:rFonts w:ascii="宋体" w:hAnsi="宋体"/>
                <w:sz w:val="24"/>
                <w:szCs w:val="24"/>
              </w:rPr>
            </w:pPr>
            <w:r>
              <w:rPr>
                <w:rFonts w:hint="eastAsia" w:ascii="宋体" w:hAnsi="宋体"/>
                <w:sz w:val="24"/>
                <w:szCs w:val="24"/>
              </w:rPr>
              <w:t>3.7.3 为保证人身安全，所有电气设备都设接地装置，并将电气设备外壳接地。本发电项目采用以水平接地体为主，以垂直接地体为支撑的接地网。接地电阻值按光伏阵列区小于1Ω考虑，电气控制室小于1Ω考虑。</w:t>
            </w:r>
          </w:p>
          <w:p>
            <w:pPr>
              <w:pStyle w:val="9"/>
              <w:spacing w:line="600" w:lineRule="exact"/>
              <w:ind w:firstLine="480"/>
              <w:jc w:val="left"/>
              <w:rPr>
                <w:rFonts w:ascii="宋体" w:hAnsi="宋体"/>
                <w:sz w:val="24"/>
                <w:szCs w:val="24"/>
              </w:rPr>
            </w:pPr>
            <w:r>
              <w:rPr>
                <w:rFonts w:hint="eastAsia" w:ascii="宋体" w:hAnsi="宋体"/>
                <w:sz w:val="24"/>
                <w:szCs w:val="24"/>
              </w:rPr>
              <w:t>3.8 站用电</w:t>
            </w:r>
          </w:p>
          <w:p>
            <w:pPr>
              <w:pStyle w:val="9"/>
              <w:spacing w:line="600" w:lineRule="exact"/>
              <w:ind w:firstLine="480"/>
              <w:jc w:val="left"/>
              <w:rPr>
                <w:rFonts w:ascii="宋体" w:hAnsi="宋体"/>
                <w:sz w:val="24"/>
                <w:szCs w:val="24"/>
              </w:rPr>
            </w:pPr>
            <w:r>
              <w:rPr>
                <w:rFonts w:hint="eastAsia" w:ascii="宋体" w:hAnsi="宋体"/>
                <w:sz w:val="24"/>
                <w:szCs w:val="24"/>
              </w:rPr>
              <w:t>本项目站用电源两回路进线，配有失压自切装置，以保证站用电源的可靠性。站用电源一路为市电，一路为光伏区电源。站用配电装置采用抽出式开关柜型式。</w:t>
            </w:r>
          </w:p>
          <w:p>
            <w:pPr>
              <w:pStyle w:val="9"/>
              <w:spacing w:line="600" w:lineRule="exact"/>
              <w:ind w:firstLine="480"/>
              <w:jc w:val="left"/>
              <w:rPr>
                <w:rFonts w:ascii="宋体" w:hAnsi="宋体"/>
                <w:sz w:val="24"/>
                <w:szCs w:val="24"/>
              </w:rPr>
            </w:pPr>
            <w:r>
              <w:rPr>
                <w:rFonts w:hint="eastAsia" w:ascii="宋体" w:hAnsi="宋体"/>
                <w:sz w:val="24"/>
                <w:szCs w:val="24"/>
              </w:rPr>
              <w:t>3.9 火灾报警</w:t>
            </w:r>
          </w:p>
          <w:p>
            <w:pPr>
              <w:pStyle w:val="9"/>
              <w:spacing w:line="600" w:lineRule="exact"/>
              <w:ind w:firstLine="480"/>
              <w:jc w:val="left"/>
              <w:rPr>
                <w:rFonts w:ascii="宋体" w:hAnsi="宋体"/>
                <w:sz w:val="24"/>
                <w:szCs w:val="24"/>
              </w:rPr>
            </w:pPr>
            <w:r>
              <w:rPr>
                <w:rFonts w:hint="eastAsia" w:ascii="宋体" w:hAnsi="宋体"/>
                <w:sz w:val="24"/>
                <w:szCs w:val="24"/>
              </w:rPr>
              <w:t>在本项目设计范围内的配电室、继电保护室均设置火灾报警探测器，一旦房间内发生火灾，该区域内的火灾报警探测器能辨别火灾并发出信号至监控后台，进行相关动作。</w:t>
            </w:r>
          </w:p>
          <w:p>
            <w:pPr>
              <w:pStyle w:val="9"/>
              <w:spacing w:line="600" w:lineRule="exact"/>
              <w:ind w:firstLine="480"/>
              <w:jc w:val="left"/>
              <w:rPr>
                <w:rFonts w:ascii="宋体" w:hAnsi="宋体"/>
                <w:sz w:val="24"/>
                <w:szCs w:val="24"/>
              </w:rPr>
            </w:pPr>
            <w:r>
              <w:rPr>
                <w:rFonts w:hint="eastAsia" w:ascii="宋体" w:hAnsi="宋体"/>
                <w:sz w:val="24"/>
                <w:szCs w:val="24"/>
              </w:rPr>
              <w:t>4 施工工期</w:t>
            </w:r>
          </w:p>
          <w:p>
            <w:pPr>
              <w:pStyle w:val="9"/>
              <w:spacing w:line="600" w:lineRule="exact"/>
              <w:ind w:firstLine="480"/>
              <w:jc w:val="left"/>
              <w:rPr>
                <w:rFonts w:ascii="宋体" w:hAnsi="宋体"/>
                <w:sz w:val="24"/>
                <w:szCs w:val="24"/>
              </w:rPr>
            </w:pPr>
            <w:r>
              <w:rPr>
                <w:rFonts w:hint="eastAsia" w:ascii="宋体" w:hAnsi="宋体"/>
                <w:sz w:val="24"/>
                <w:szCs w:val="24"/>
              </w:rPr>
              <w:t>开工时间：2014年</w:t>
            </w:r>
            <w:r>
              <w:rPr>
                <w:rFonts w:hint="eastAsia" w:ascii="宋体" w:hAnsi="宋体"/>
                <w:sz w:val="24"/>
                <w:szCs w:val="24"/>
                <w:lang w:val="en-US" w:eastAsia="zh-CN"/>
              </w:rPr>
              <w:t>11</w:t>
            </w:r>
            <w:r>
              <w:rPr>
                <w:rFonts w:hint="eastAsia" w:ascii="宋体" w:hAnsi="宋体"/>
                <w:sz w:val="24"/>
                <w:szCs w:val="24"/>
              </w:rPr>
              <w:t>月1</w:t>
            </w:r>
            <w:r>
              <w:rPr>
                <w:rFonts w:hint="eastAsia" w:ascii="宋体" w:hAnsi="宋体"/>
                <w:sz w:val="24"/>
                <w:szCs w:val="24"/>
                <w:lang w:val="en-US" w:eastAsia="zh-CN"/>
              </w:rPr>
              <w:t>8</w:t>
            </w:r>
            <w:r>
              <w:rPr>
                <w:rFonts w:hint="eastAsia" w:ascii="宋体" w:hAnsi="宋体"/>
                <w:sz w:val="24"/>
                <w:szCs w:val="24"/>
              </w:rPr>
              <w:t>日</w:t>
            </w:r>
          </w:p>
          <w:p>
            <w:pPr>
              <w:pStyle w:val="9"/>
              <w:spacing w:line="600" w:lineRule="exact"/>
              <w:ind w:firstLine="480"/>
              <w:jc w:val="left"/>
              <w:rPr>
                <w:rFonts w:ascii="宋体" w:hAnsi="宋体"/>
                <w:sz w:val="24"/>
                <w:szCs w:val="24"/>
              </w:rPr>
            </w:pPr>
            <w:r>
              <w:rPr>
                <w:rFonts w:hint="eastAsia" w:ascii="宋体" w:hAnsi="宋体"/>
                <w:sz w:val="24"/>
                <w:szCs w:val="24"/>
              </w:rPr>
              <w:t>竣工日期：201</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07</w:t>
            </w:r>
            <w:r>
              <w:rPr>
                <w:rFonts w:hint="eastAsia" w:ascii="宋体" w:hAnsi="宋体"/>
                <w:sz w:val="24"/>
                <w:szCs w:val="24"/>
              </w:rPr>
              <w:t>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工程名称</w:t>
            </w:r>
          </w:p>
        </w:tc>
        <w:tc>
          <w:tcPr>
            <w:tcW w:w="2268" w:type="dxa"/>
            <w:gridSpan w:val="2"/>
            <w:vAlign w:val="center"/>
          </w:tcPr>
          <w:p>
            <w:pPr>
              <w:spacing w:line="600" w:lineRule="exact"/>
              <w:jc w:val="center"/>
              <w:rPr>
                <w:rFonts w:ascii="宋体" w:hAnsi="宋体"/>
                <w:sz w:val="22"/>
                <w:szCs w:val="28"/>
              </w:rPr>
            </w:pPr>
            <w:r>
              <w:rPr>
                <w:rFonts w:hint="eastAsia" w:ascii="宋体" w:hAnsi="宋体"/>
                <w:sz w:val="22"/>
                <w:szCs w:val="28"/>
              </w:rPr>
              <w:t>开工日期</w:t>
            </w:r>
          </w:p>
        </w:tc>
        <w:tc>
          <w:tcPr>
            <w:tcW w:w="1701" w:type="dxa"/>
            <w:gridSpan w:val="2"/>
            <w:vAlign w:val="center"/>
          </w:tcPr>
          <w:p>
            <w:pPr>
              <w:spacing w:line="600" w:lineRule="exact"/>
              <w:jc w:val="center"/>
              <w:rPr>
                <w:rFonts w:ascii="宋体" w:hAnsi="宋体"/>
                <w:sz w:val="22"/>
                <w:szCs w:val="28"/>
              </w:rPr>
            </w:pPr>
            <w:r>
              <w:rPr>
                <w:rFonts w:hint="eastAsia" w:ascii="宋体" w:hAnsi="宋体"/>
                <w:sz w:val="22"/>
                <w:szCs w:val="28"/>
              </w:rPr>
              <w:t>完工日期</w:t>
            </w:r>
          </w:p>
        </w:tc>
        <w:tc>
          <w:tcPr>
            <w:tcW w:w="1418" w:type="dxa"/>
            <w:vAlign w:val="center"/>
          </w:tcPr>
          <w:p>
            <w:pPr>
              <w:spacing w:line="600" w:lineRule="exact"/>
              <w:jc w:val="center"/>
              <w:rPr>
                <w:rFonts w:ascii="宋体" w:hAnsi="宋体"/>
                <w:sz w:val="22"/>
                <w:szCs w:val="28"/>
              </w:rPr>
            </w:pPr>
            <w:r>
              <w:rPr>
                <w:rFonts w:hint="eastAsia" w:ascii="宋体" w:hAnsi="宋体"/>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光伏组件安装</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spacing w:line="600" w:lineRule="exact"/>
              <w:jc w:val="center"/>
              <w:rPr>
                <w:rFonts w:ascii="宋体" w:hAnsi="宋体"/>
                <w:sz w:val="22"/>
                <w:szCs w:val="28"/>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综合楼主体工程</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lang w:eastAsia="zh-CN"/>
              </w:rPr>
              <w:t>配电房</w:t>
            </w:r>
            <w:r>
              <w:rPr>
                <w:rFonts w:hint="eastAsia" w:ascii="宋体" w:hAnsi="宋体"/>
                <w:sz w:val="22"/>
                <w:szCs w:val="28"/>
              </w:rPr>
              <w:t>主体工程</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rFonts w:ascii="宋体" w:hAnsi="宋体"/>
                <w:sz w:val="22"/>
                <w:szCs w:val="28"/>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户外配电装置基础</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户外设备安装</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光伏区防雷接地</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全站电缆敷设</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箱变安装工程</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开关站设备安装</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设备调试</w:t>
            </w:r>
          </w:p>
        </w:tc>
        <w:tc>
          <w:tcPr>
            <w:tcW w:w="2268" w:type="dxa"/>
            <w:gridSpan w:val="2"/>
            <w:vAlign w:val="center"/>
          </w:tcPr>
          <w:p>
            <w:pPr>
              <w:spacing w:line="600" w:lineRule="exact"/>
              <w:jc w:val="center"/>
              <w:rPr>
                <w:rFonts w:ascii="宋体" w:hAnsi="宋体"/>
                <w:sz w:val="22"/>
                <w:szCs w:val="28"/>
              </w:rPr>
            </w:pPr>
          </w:p>
        </w:tc>
        <w:tc>
          <w:tcPr>
            <w:tcW w:w="1701" w:type="dxa"/>
            <w:gridSpan w:val="2"/>
            <w:vAlign w:val="center"/>
          </w:tcPr>
          <w:p>
            <w:pPr>
              <w:spacing w:line="600" w:lineRule="exact"/>
              <w:jc w:val="center"/>
              <w:rPr>
                <w:rFonts w:ascii="宋体" w:hAnsi="宋体"/>
                <w:sz w:val="22"/>
                <w:szCs w:val="28"/>
              </w:rPr>
            </w:pPr>
          </w:p>
        </w:tc>
        <w:tc>
          <w:tcPr>
            <w:tcW w:w="1418" w:type="dxa"/>
            <w:vAlign w:val="center"/>
          </w:tcPr>
          <w:p>
            <w:pPr>
              <w:jc w:val="center"/>
              <w:rPr>
                <w:sz w:val="22"/>
              </w:rPr>
            </w:pPr>
            <w:r>
              <w:rPr>
                <w:rFonts w:hint="eastAsia" w:ascii="宋体" w:hAnsi="宋体"/>
                <w:sz w:val="22"/>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trPr>
        <w:tc>
          <w:tcPr>
            <w:tcW w:w="4113" w:type="dxa"/>
            <w:gridSpan w:val="4"/>
            <w:vAlign w:val="center"/>
          </w:tcPr>
          <w:p>
            <w:pPr>
              <w:spacing w:line="600" w:lineRule="exact"/>
              <w:ind w:firstLine="440"/>
              <w:jc w:val="center"/>
              <w:rPr>
                <w:rFonts w:ascii="宋体" w:hAnsi="宋体"/>
                <w:sz w:val="22"/>
                <w:szCs w:val="28"/>
              </w:rPr>
            </w:pPr>
            <w:r>
              <w:rPr>
                <w:rFonts w:hint="eastAsia" w:ascii="宋体" w:hAnsi="宋体"/>
                <w:sz w:val="22"/>
                <w:szCs w:val="28"/>
              </w:rPr>
              <w:t>架空线路施工</w:t>
            </w:r>
          </w:p>
        </w:tc>
        <w:tc>
          <w:tcPr>
            <w:tcW w:w="2268" w:type="dxa"/>
            <w:gridSpan w:val="2"/>
            <w:vAlign w:val="center"/>
          </w:tcPr>
          <w:p>
            <w:pPr>
              <w:spacing w:line="600" w:lineRule="exact"/>
              <w:ind w:firstLine="440"/>
              <w:jc w:val="center"/>
              <w:rPr>
                <w:rFonts w:ascii="宋体" w:hAnsi="宋体"/>
                <w:sz w:val="22"/>
                <w:szCs w:val="28"/>
              </w:rPr>
            </w:pPr>
          </w:p>
        </w:tc>
        <w:tc>
          <w:tcPr>
            <w:tcW w:w="1701" w:type="dxa"/>
            <w:gridSpan w:val="2"/>
            <w:vAlign w:val="center"/>
          </w:tcPr>
          <w:p>
            <w:pPr>
              <w:spacing w:line="600" w:lineRule="exact"/>
              <w:ind w:firstLine="440"/>
              <w:jc w:val="center"/>
              <w:rPr>
                <w:rFonts w:ascii="宋体" w:hAnsi="宋体"/>
                <w:sz w:val="22"/>
                <w:szCs w:val="28"/>
              </w:rPr>
            </w:pPr>
          </w:p>
        </w:tc>
        <w:tc>
          <w:tcPr>
            <w:tcW w:w="1418" w:type="dxa"/>
            <w:vAlign w:val="center"/>
          </w:tcPr>
          <w:p>
            <w:pPr>
              <w:ind w:firstLine="440"/>
              <w:jc w:val="both"/>
              <w:rPr>
                <w:rFonts w:hint="eastAsia" w:eastAsia="宋体"/>
                <w:sz w:val="22"/>
                <w:lang w:eastAsia="zh-CN"/>
              </w:rPr>
            </w:pPr>
            <w:r>
              <w:rPr>
                <w:rFonts w:hint="eastAsia"/>
                <w:sz w:val="22"/>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trPr>
        <w:tc>
          <w:tcPr>
            <w:tcW w:w="9500" w:type="dxa"/>
            <w:gridSpan w:val="9"/>
            <w:vAlign w:val="center"/>
          </w:tcPr>
          <w:p>
            <w:pPr>
              <w:spacing w:line="600" w:lineRule="exact"/>
              <w:jc w:val="center"/>
              <w:rPr>
                <w:rFonts w:ascii="黑体" w:hAnsi="黑体" w:eastAsia="黑体"/>
                <w:sz w:val="28"/>
                <w:szCs w:val="28"/>
              </w:rPr>
            </w:pPr>
            <w:r>
              <w:rPr>
                <w:rFonts w:hint="eastAsia" w:ascii="黑体" w:hAnsi="黑体" w:eastAsia="黑体"/>
                <w:sz w:val="28"/>
                <w:szCs w:val="28"/>
              </w:rPr>
              <w:t>三、综合评价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hAnsi="宋体"/>
                <w:sz w:val="24"/>
                <w:szCs w:val="24"/>
              </w:rPr>
            </w:pPr>
            <w:r>
              <w:rPr>
                <w:rFonts w:hint="eastAsia" w:ascii="宋体" w:hAnsi="宋体"/>
                <w:sz w:val="24"/>
                <w:szCs w:val="24"/>
              </w:rPr>
              <w:t>质量体系及实施情况</w:t>
            </w:r>
          </w:p>
        </w:tc>
        <w:tc>
          <w:tcPr>
            <w:tcW w:w="8789" w:type="dxa"/>
            <w:gridSpan w:val="7"/>
            <w:vAlign w:val="top"/>
          </w:tcPr>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对施工项目部报审资料进行现场检查，主要检查现场实际情况是否与报审资料一致，是否满足工程实际需要。</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监理项目部应结合工地例会，定期对工程质量状况进行分析，提出改进质量的意见，对存在的质量薄弱环节和问题，提出整改要求。并落实上一次会议提出质量问题的整改结果。</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根据需要及组织召开质量专题会议，解决施工过程中出现的各种质量问题。</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检查现场质量管理人员持证上岗的情况，对资质不符合要求的人员，通知施工项目部予以调整。</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检查用于工程的主要测量器具、计量器具、施工机具的实际状况，确保检验有效、状态完好、满足要求。</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运用工序检查、见证、旁站、巡视、平行检验等质量控制手段。对工程施工质量进行检查、控制。按照 本工程各专业监理实施细则中的监理旁站内容对重点部位、关键工序进行旁站监理，及时填写《旁站监理记录表》。根据施工进展，对施工现场进行巡视，重点检查施工质量管理是否到位、施工作业是否满足规范和设计要求，发现问题及时整改。监理人员按照有关规定做好平行检验工作。工程开工、工序交接及隐蔽工程隐蔽前，监理项目部进行检查、确认。</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对施工过程中出现的质量缺陷，及时下达《监理工作联系单》或《监理工程师通知单》，要求责任单位限期整改，完成整改后监理项目部复验。</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配合质量监督机构完成各阶段质检工作和有关质量问题的整改闭环。</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配合工程设计变更工作，复核现场实际变更工程量。</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应用基建管控模块，做好质量信息管理工作。</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督促施工项目部落实质量通病预防措施。</w:t>
            </w:r>
          </w:p>
          <w:p>
            <w:pPr>
              <w:pStyle w:val="9"/>
              <w:numPr>
                <w:ilvl w:val="0"/>
                <w:numId w:val="4"/>
              </w:numPr>
              <w:spacing w:line="600" w:lineRule="exact"/>
              <w:ind w:left="0" w:firstLine="198" w:firstLineChars="0"/>
              <w:rPr>
                <w:rFonts w:ascii="宋体" w:hAnsi="宋体"/>
                <w:sz w:val="24"/>
                <w:szCs w:val="24"/>
              </w:rPr>
            </w:pPr>
            <w:r>
              <w:rPr>
                <w:rFonts w:hint="eastAsia" w:ascii="宋体" w:hAnsi="宋体"/>
                <w:sz w:val="24"/>
                <w:szCs w:val="24"/>
              </w:rPr>
              <w:t>督促施工项目部落实强制性条文执行计划，对强制性条文执行情况检查确认。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hAnsi="宋体"/>
                <w:sz w:val="24"/>
                <w:szCs w:val="24"/>
              </w:rPr>
            </w:pPr>
            <w:r>
              <w:rPr>
                <w:rFonts w:hint="eastAsia" w:ascii="宋体" w:hAnsi="宋体"/>
                <w:sz w:val="24"/>
                <w:szCs w:val="24"/>
              </w:rPr>
              <w:t>主要技术资料检查情况</w:t>
            </w:r>
          </w:p>
        </w:tc>
        <w:tc>
          <w:tcPr>
            <w:tcW w:w="8789" w:type="dxa"/>
            <w:gridSpan w:val="7"/>
            <w:vAlign w:val="top"/>
          </w:tcPr>
          <w:p>
            <w:pPr>
              <w:pStyle w:val="9"/>
              <w:numPr>
                <w:ilvl w:val="0"/>
                <w:numId w:val="5"/>
              </w:numPr>
              <w:spacing w:line="600" w:lineRule="exact"/>
              <w:ind w:firstLineChars="0"/>
              <w:rPr>
                <w:rFonts w:ascii="宋体" w:hAnsi="宋体"/>
                <w:sz w:val="24"/>
                <w:szCs w:val="24"/>
              </w:rPr>
            </w:pPr>
            <w:r>
              <w:rPr>
                <w:rFonts w:hint="eastAsia" w:ascii="宋体" w:hAnsi="宋体"/>
                <w:sz w:val="24"/>
                <w:szCs w:val="24"/>
              </w:rPr>
              <w:t>工程开工前，审查施工项目部《施工组织设计》、《项目管理实施计划》、《变电站工程施工强制性条文执行计划》、管理体系文件，并报业主项目部审批；审批《施工管理人员资格报审表》，并上报业主项目部备案。</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审查施工项目部报送的《一般施工（调试）方案报审表》，主要审查内容的完整性、工艺的合理性、方法的先进性、保证措施的针对性。</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查施工项目部《安全文明施工实施细则》、《安全文明施工设施配置申请表》、《安全文明施工措施实施申请表》、《特殊（专项）施工技术（措施）方案》、《施工管理应急预案》、关键项目或关键工序、危险、特殊作业安全施工措施/作业指导书及危险源辨识评价和预控措施，报业主项目部审批。</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核施工项目部编报的重要作业、重点部位、关键工序的《特殊（专项）施工技术方案（措施）报审表》、特殊试验方案，主要审查内容的完整性、工艺的合理性、方法的先进性、保证措施的针对性。并向业主项目部报审。参见专题会审并监督实施，落实《变电站工程建设标准强制性条文执行检查及汇总表》。</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审查试验（检测）单位的资质，主要审查试验单位资质是否符合要求。</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审核施工项目部报审的《施工质量验收及评定项目划分表》，主要审查划分内容是否准确合理、是否有利于控制工程施工质量等内容，符合要求后向业主项目部报审。</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审核施工项目部报审的《主要测量计量器具/试验设备检验报审表》，主要审查机械/器具规格型号、数量是否满足施工需要、证明文件是否合格等内容。</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审查施工项目部提交的《工程质量通病预防措施报审表》，主要审查质量通病防治措施是否全面、措施是否具体、有效、有针对性，提出具体要求和监理防止控制措施，并列入《变电站工程专业监理实施细则》、</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重要施工设施（大型其中机械、施工用电、危险品库房等）投入使用前，依据《安全监理实施细则》对其进行安全检查。</w:t>
            </w:r>
          </w:p>
          <w:p>
            <w:pPr>
              <w:pStyle w:val="9"/>
              <w:numPr>
                <w:ilvl w:val="0"/>
                <w:numId w:val="5"/>
              </w:numPr>
              <w:spacing w:line="600" w:lineRule="exact"/>
              <w:ind w:firstLineChars="0"/>
              <w:rPr>
                <w:rFonts w:ascii="宋体" w:hAnsi="宋体"/>
                <w:sz w:val="24"/>
                <w:szCs w:val="24"/>
              </w:rPr>
            </w:pPr>
            <w:r>
              <w:rPr>
                <w:rFonts w:hint="eastAsia" w:ascii="宋体" w:hAnsi="宋体"/>
                <w:sz w:val="24"/>
                <w:szCs w:val="24"/>
              </w:rPr>
              <w:t>重大工序（工程项目开工、土建交付安装。安装交付调试及整套启动）转接前，依据《安全监理实施细则》进行安全检查。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1" w:type="dxa"/>
            <w:gridSpan w:val="2"/>
            <w:vAlign w:val="center"/>
          </w:tcPr>
          <w:p>
            <w:pPr>
              <w:spacing w:line="600" w:lineRule="exact"/>
              <w:jc w:val="center"/>
              <w:rPr>
                <w:rFonts w:ascii="宋体" w:hAnsi="宋体"/>
                <w:sz w:val="24"/>
                <w:szCs w:val="24"/>
              </w:rPr>
            </w:pPr>
            <w:r>
              <w:rPr>
                <w:rFonts w:hint="eastAsia" w:ascii="宋体" w:hAnsi="宋体"/>
                <w:sz w:val="24"/>
                <w:szCs w:val="24"/>
              </w:rPr>
              <w:t>工程重点抽查情况</w:t>
            </w:r>
          </w:p>
        </w:tc>
        <w:tc>
          <w:tcPr>
            <w:tcW w:w="8789" w:type="dxa"/>
            <w:gridSpan w:val="7"/>
            <w:vAlign w:val="top"/>
          </w:tcPr>
          <w:p>
            <w:pPr>
              <w:pStyle w:val="9"/>
              <w:numPr>
                <w:ilvl w:val="0"/>
                <w:numId w:val="6"/>
              </w:numPr>
              <w:spacing w:line="600" w:lineRule="exact"/>
              <w:ind w:firstLineChars="0"/>
              <w:rPr>
                <w:rFonts w:ascii="宋体" w:hAnsi="宋体"/>
                <w:sz w:val="24"/>
                <w:szCs w:val="24"/>
              </w:rPr>
            </w:pPr>
            <w:r>
              <w:rPr>
                <w:rFonts w:hint="eastAsia" w:ascii="宋体" w:hAnsi="宋体"/>
                <w:sz w:val="24"/>
                <w:szCs w:val="24"/>
              </w:rPr>
              <w:t>督促检查施工项目部管理体系的运行情况，对于现场发生的问题及时签发《监理工程师通知单》、《监理工作联系单》要求施工项目部整改，并跟踪整改落实情况。根据业主的项目进度实施计划，督促施工项目部按业主的项目进度实施计划编制工程进度计划，审查合格后报业主项目部备案；对施工报审的物资供货计划进行审查，并报业主项目部备案。</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检查工程开工条件，签署施工项目部《工程开工报审表》，报业主项目部审批；审查《分布（单位）工程开工报审》，确认单位工程开工条件。</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依据《输变电工程安全文明施工标准》，督查施工项目部开展“安全管理制度化，安全设施标准化，现场布置条理化，机料摆放定置化，作业行为规范化，黄静影响最小化“工作情况，对存在的问题督促施工项目部闭环整改。</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定期组织安全文明施工检查并召开安全工作例会，针对所存在的安全文明施工薄弱环节和问题，督促施工项目部闭环整改。</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审批施工项目部提出的《主要设备（材料/构配件）开箱申请表》，组织施工项目部、供应商、业主项目部参加开箱检验，签署《设备开箱检查记录表》。检查进场使用的材料、构配件、半成品质量状况及保管条件，不符合要求时，要求施工项目部立即将不合格产品清出施工现场。</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运用工序检查、见证、旁站、巡视、平行检验等质量控制手段，对工程施工质量进行检查、控制。按照《旁站监理细则》对重点部位、关键工序进行旁站监理，及时填写《旁站监理记录表》。根据施工进展，对施工现场进行巡视。</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重点检查施工质量管理是否到位、施工作业是否满足规范和设计要求，发现问题及时纠正。</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施工项目部在工程施工过程中由于某种原因造成工程进度滞后，及时督促进行纠偏。需要对原进度计划进行调整时，监理项目部组织审查施工项目部填报的《施工进度计划调整报审表》，并报业主项目部备案。由于建设工程中存在的各种制约因素，致使工程施工进度无法完成合同工期目标要求时，监理项目部审查施工项目部《变更工期的报审表》，并报业主项目部审批。</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利用审签工程进度款来催促、推动工程进度按计划进行。</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根据施工合同中的工程量，进度款支付的要求，审核施工项目部报送的工程量清单、进度款支付申请，报送业主项目部。</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核实施工项目部的安全、质量、进度、造价和各项目标的实现情况，对施工单位作出综合评价。</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检查项目：电气设备安装固定牢固、可靠；垂直度、水平度、安装尺寸偏差符合光伏呀；设备各部件完好无损；电气连接可靠，接触良好，密封良好，不渗油、不漏气，油气技术指标符合要求；设备无锈蚀，油漆层或外镀层完整，相色标志准确，设备接地良好，各种电气距离满足要求。</w:t>
            </w:r>
          </w:p>
          <w:p>
            <w:pPr>
              <w:pStyle w:val="9"/>
              <w:numPr>
                <w:ilvl w:val="0"/>
                <w:numId w:val="6"/>
              </w:numPr>
              <w:spacing w:line="600" w:lineRule="exact"/>
              <w:ind w:firstLineChars="0"/>
              <w:rPr>
                <w:rFonts w:ascii="宋体" w:hAnsi="宋体"/>
                <w:sz w:val="24"/>
                <w:szCs w:val="24"/>
              </w:rPr>
            </w:pPr>
            <w:r>
              <w:rPr>
                <w:rFonts w:hint="eastAsia" w:ascii="宋体" w:hAnsi="宋体"/>
                <w:sz w:val="24"/>
                <w:szCs w:val="24"/>
              </w:rPr>
              <w:t>二次回路、设备检查项目：电缆固定应牢固，装置及与之相连的二次回路的接线应整齐美观、紧固可靠，电缆牌及回路编号标示清晰、正确、无褪色；所有二次电缆都应采用阻燃铠装屏蔽电缆，屏蔽层在开关场、控制室同时接地；电流电压回路电缆芯截面≥4mm</w:t>
            </w:r>
            <w:r>
              <w:rPr>
                <w:rFonts w:hint="eastAsia" w:ascii="宋体" w:hAnsi="宋体"/>
                <w:sz w:val="24"/>
                <w:szCs w:val="24"/>
                <w:vertAlign w:val="superscript"/>
              </w:rPr>
              <w:t>2</w:t>
            </w:r>
            <w:r>
              <w:rPr>
                <w:rFonts w:hint="eastAsia" w:ascii="宋体" w:hAnsi="宋体"/>
                <w:sz w:val="24"/>
                <w:szCs w:val="24"/>
              </w:rPr>
              <w:t>；控制电缆或绝缘导线芯截面、强电回路电缆芯截面≥1.5mm</w:t>
            </w:r>
            <w:r>
              <w:rPr>
                <w:rFonts w:hint="eastAsia" w:ascii="宋体" w:hAnsi="宋体"/>
                <w:sz w:val="24"/>
                <w:szCs w:val="24"/>
                <w:vertAlign w:val="superscript"/>
              </w:rPr>
              <w:t>2</w:t>
            </w:r>
            <w:r>
              <w:rPr>
                <w:rFonts w:hint="eastAsia" w:ascii="宋体" w:hAnsi="宋体"/>
                <w:sz w:val="24"/>
                <w:szCs w:val="24"/>
              </w:rPr>
              <w:t>；弱点回路电缆芯截面≥0.5mm</w:t>
            </w:r>
            <w:r>
              <w:rPr>
                <w:rFonts w:hint="eastAsia" w:ascii="宋体" w:hAnsi="宋体"/>
                <w:sz w:val="24"/>
                <w:szCs w:val="24"/>
                <w:vertAlign w:val="superscript"/>
              </w:rPr>
              <w:t>2</w:t>
            </w:r>
            <w:r>
              <w:rPr>
                <w:rFonts w:hint="eastAsia" w:ascii="宋体" w:hAnsi="宋体"/>
                <w:sz w:val="24"/>
                <w:szCs w:val="24"/>
              </w:rPr>
              <w:t>；屏柜内导线的芯线截面不小于≥1.0mm</w:t>
            </w:r>
            <w:r>
              <w:rPr>
                <w:rFonts w:hint="eastAsia" w:ascii="宋体" w:hAnsi="宋体"/>
                <w:sz w:val="24"/>
                <w:szCs w:val="24"/>
                <w:vertAlign w:val="superscript"/>
              </w:rPr>
              <w:t>2</w:t>
            </w:r>
            <w:r>
              <w:rPr>
                <w:rFonts w:hint="eastAsia" w:ascii="宋体" w:hAnsi="宋体"/>
                <w:sz w:val="24"/>
                <w:szCs w:val="24"/>
              </w:rPr>
              <w:t>；所有端子排接线稳固，不同截面的电缆芯不允许接入同一端子，同一端子接线不宜超过两根；所有保护屏地面下应用截面不小于100 mm</w:t>
            </w:r>
            <w:r>
              <w:rPr>
                <w:rFonts w:hint="eastAsia" w:ascii="宋体" w:hAnsi="宋体"/>
                <w:sz w:val="24"/>
                <w:szCs w:val="24"/>
                <w:vertAlign w:val="superscript"/>
              </w:rPr>
              <w:t>2</w:t>
            </w:r>
            <w:r>
              <w:rPr>
                <w:rFonts w:hint="eastAsia" w:ascii="宋体" w:hAnsi="宋体"/>
                <w:sz w:val="24"/>
                <w:szCs w:val="24"/>
              </w:rPr>
              <w:t>的接地铜排直接连接构成等电位接地母线，接地母线应首尾可靠连接形成环网；交流和直流回路不应何用同一电缆；强点和弱点回路不应合用同一电缆；所有电流互感器、点要求互感器的二次绕组必须且只能有一个接地点；有电气直接连接的电流互感器的二次回路，其接地钱应在控制室一点接地；</w:t>
            </w:r>
            <w:r>
              <w:rPr>
                <w:rFonts w:hint="eastAsia" w:ascii="宋体" w:hAnsi="宋体"/>
                <w:sz w:val="24"/>
                <w:szCs w:val="24"/>
                <w:lang w:eastAsia="zh-CN"/>
              </w:rPr>
              <w:t>屏</w:t>
            </w:r>
            <w:r>
              <w:rPr>
                <w:rFonts w:hint="eastAsia" w:ascii="宋体" w:hAnsi="宋体"/>
                <w:sz w:val="24"/>
                <w:szCs w:val="24"/>
              </w:rPr>
              <w:t>/柜、箱的接地应牢固良好。可开启的门，应以裸铜软线与接地的金属构架可靠连接。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vAlign w:val="top"/>
          </w:tcPr>
          <w:p>
            <w:pPr>
              <w:widowControl/>
              <w:jc w:val="center"/>
              <w:rPr>
                <w:color w:val="000000"/>
                <w:sz w:val="28"/>
                <w:szCs w:val="28"/>
              </w:rPr>
            </w:pPr>
            <w:r>
              <w:rPr>
                <w:rFonts w:hint="eastAsia"/>
                <w:color w:val="000000"/>
                <w:sz w:val="28"/>
                <w:szCs w:val="28"/>
              </w:rPr>
              <w:t>四、主要改进建议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vAlign w:val="top"/>
          </w:tcPr>
          <w:p>
            <w:pPr>
              <w:pStyle w:val="9"/>
              <w:numPr>
                <w:ilvl w:val="0"/>
                <w:numId w:val="7"/>
              </w:numPr>
              <w:spacing w:line="600" w:lineRule="exact"/>
              <w:ind w:firstLineChars="0"/>
              <w:rPr>
                <w:rFonts w:ascii="宋体" w:hAnsi="宋体"/>
                <w:sz w:val="24"/>
                <w:szCs w:val="24"/>
              </w:rPr>
            </w:pPr>
            <w:r>
              <w:rPr>
                <w:rFonts w:hint="eastAsia" w:ascii="宋体" w:hAnsi="宋体"/>
                <w:sz w:val="24"/>
                <w:szCs w:val="24"/>
              </w:rPr>
              <w:t>与施工方技术负责人和质量管理等主要人员紧密联系。监理工程师应参与他们的管理，对每道工序做到事前控制，杜绝和减少质量事故，尽量做到少返工或不返工。</w:t>
            </w:r>
          </w:p>
          <w:p>
            <w:pPr>
              <w:pStyle w:val="9"/>
              <w:numPr>
                <w:ilvl w:val="0"/>
                <w:numId w:val="7"/>
              </w:numPr>
              <w:spacing w:line="600" w:lineRule="exact"/>
              <w:ind w:firstLineChars="0"/>
              <w:rPr>
                <w:rFonts w:ascii="宋体" w:hAnsi="宋体"/>
                <w:sz w:val="24"/>
                <w:szCs w:val="24"/>
              </w:rPr>
            </w:pPr>
            <w:r>
              <w:rPr>
                <w:rFonts w:hint="eastAsia" w:ascii="宋体" w:hAnsi="宋体"/>
                <w:sz w:val="24"/>
                <w:szCs w:val="24"/>
              </w:rPr>
              <w:t>监理工程师应对每道工序的重要部位做到心中有数，对此应严格控制，现场监理必须到位检查验收。</w:t>
            </w:r>
          </w:p>
          <w:p>
            <w:pPr>
              <w:pStyle w:val="9"/>
              <w:numPr>
                <w:ilvl w:val="0"/>
                <w:numId w:val="7"/>
              </w:numPr>
              <w:spacing w:line="600" w:lineRule="exact"/>
              <w:ind w:firstLineChars="0"/>
              <w:rPr>
                <w:rFonts w:ascii="宋体" w:hAnsi="宋体"/>
                <w:sz w:val="24"/>
                <w:szCs w:val="24"/>
              </w:rPr>
            </w:pPr>
            <w:r>
              <w:rPr>
                <w:rFonts w:hint="eastAsia" w:ascii="宋体" w:hAnsi="宋体"/>
                <w:sz w:val="24"/>
                <w:szCs w:val="24"/>
              </w:rPr>
              <w:t>采取主动控制，监理工作要主动进行，以预防为主。</w:t>
            </w:r>
          </w:p>
          <w:p>
            <w:pPr>
              <w:pStyle w:val="9"/>
              <w:numPr>
                <w:ilvl w:val="0"/>
                <w:numId w:val="7"/>
              </w:numPr>
              <w:spacing w:line="600" w:lineRule="exact"/>
              <w:ind w:firstLineChars="0"/>
              <w:rPr>
                <w:rFonts w:ascii="宋体" w:hAnsi="宋体"/>
                <w:sz w:val="24"/>
                <w:szCs w:val="24"/>
              </w:rPr>
            </w:pPr>
            <w:r>
              <w:rPr>
                <w:rFonts w:hint="eastAsia" w:ascii="宋体" w:hAnsi="宋体"/>
                <w:sz w:val="24"/>
                <w:szCs w:val="24"/>
              </w:rPr>
              <w:t>建立健全质量保证体系，做到开工有报告，施工有措施，技术有交底，定位有复查，材料、设备有试验。隐蔽工程有记录，质量有质检、专监，交工有资料。</w:t>
            </w:r>
          </w:p>
          <w:p>
            <w:pPr>
              <w:pStyle w:val="9"/>
              <w:numPr>
                <w:ilvl w:val="0"/>
                <w:numId w:val="7"/>
              </w:numPr>
              <w:spacing w:line="600" w:lineRule="exact"/>
              <w:ind w:firstLineChars="0"/>
              <w:rPr>
                <w:rFonts w:ascii="宋体" w:hAnsi="宋体"/>
                <w:sz w:val="24"/>
                <w:szCs w:val="24"/>
              </w:rPr>
            </w:pPr>
            <w:r>
              <w:rPr>
                <w:rFonts w:hint="eastAsia" w:ascii="宋体" w:hAnsi="宋体"/>
                <w:sz w:val="24"/>
                <w:szCs w:val="24"/>
              </w:rPr>
              <w:t>始终把握“安全可靠，方便施工，经济合理“的原则，严格审批施工单位提出的各种变更，既要保证施工的顺利进行，又要使费用增加额控制在最低限度。</w:t>
            </w:r>
          </w:p>
          <w:p>
            <w:pPr>
              <w:pStyle w:val="9"/>
              <w:numPr>
                <w:ilvl w:val="0"/>
                <w:numId w:val="7"/>
              </w:numPr>
              <w:spacing w:line="600" w:lineRule="exact"/>
              <w:ind w:firstLineChars="0"/>
              <w:rPr>
                <w:rFonts w:ascii="宋体" w:hAnsi="宋体"/>
                <w:sz w:val="24"/>
                <w:szCs w:val="24"/>
              </w:rPr>
            </w:pPr>
            <w:r>
              <w:rPr>
                <w:rFonts w:hint="eastAsia" w:ascii="宋体" w:hAnsi="宋体"/>
                <w:sz w:val="24"/>
                <w:szCs w:val="24"/>
              </w:rPr>
              <w:t>严格按照规范程序对土建工程进行检查验收，以此保证安装工程质量。尽量避免土建、安装工程交叉施工。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vAlign w:val="top"/>
          </w:tcPr>
          <w:p>
            <w:pPr>
              <w:widowControl/>
              <w:jc w:val="center"/>
              <w:rPr>
                <w:color w:val="000000"/>
                <w:sz w:val="28"/>
                <w:szCs w:val="28"/>
              </w:rPr>
            </w:pPr>
            <w:r>
              <w:rPr>
                <w:rFonts w:hint="eastAsia"/>
                <w:color w:val="000000"/>
                <w:sz w:val="28"/>
                <w:szCs w:val="28"/>
              </w:rPr>
              <w:t>五、结论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00" w:type="dxa"/>
            <w:gridSpan w:val="9"/>
            <w:vAlign w:val="top"/>
          </w:tcPr>
          <w:p>
            <w:pPr>
              <w:widowControl/>
              <w:spacing w:line="360" w:lineRule="auto"/>
              <w:ind w:firstLine="480" w:firstLineChars="200"/>
              <w:jc w:val="left"/>
              <w:rPr>
                <w:color w:val="000000"/>
                <w:sz w:val="24"/>
                <w:szCs w:val="24"/>
              </w:rPr>
            </w:pPr>
            <w:r>
              <w:rPr>
                <w:rFonts w:hint="eastAsia"/>
                <w:color w:val="000000"/>
                <w:sz w:val="24"/>
                <w:szCs w:val="24"/>
                <w:lang w:eastAsia="zh-CN"/>
              </w:rPr>
              <w:t>衢州市衢江区光伏电站一期</w:t>
            </w:r>
            <w:r>
              <w:rPr>
                <w:rFonts w:hint="eastAsia"/>
                <w:color w:val="000000"/>
                <w:sz w:val="24"/>
                <w:szCs w:val="24"/>
                <w:lang w:val="en-US" w:eastAsia="zh-CN"/>
              </w:rPr>
              <w:t>45MWp建设</w:t>
            </w:r>
            <w:r>
              <w:rPr>
                <w:rFonts w:hint="eastAsia"/>
                <w:color w:val="000000"/>
                <w:sz w:val="24"/>
                <w:szCs w:val="24"/>
              </w:rPr>
              <w:t>项目自2014年</w:t>
            </w:r>
            <w:r>
              <w:rPr>
                <w:rFonts w:hint="eastAsia"/>
                <w:color w:val="000000"/>
                <w:sz w:val="24"/>
                <w:szCs w:val="24"/>
                <w:lang w:val="en-US" w:eastAsia="zh-CN"/>
              </w:rPr>
              <w:t>11</w:t>
            </w:r>
            <w:r>
              <w:rPr>
                <w:rFonts w:hint="eastAsia"/>
                <w:color w:val="000000"/>
                <w:sz w:val="24"/>
                <w:szCs w:val="24"/>
              </w:rPr>
              <w:t>月1</w:t>
            </w:r>
            <w:r>
              <w:rPr>
                <w:rFonts w:hint="eastAsia"/>
                <w:color w:val="000000"/>
                <w:sz w:val="24"/>
                <w:szCs w:val="24"/>
                <w:lang w:val="en-US" w:eastAsia="zh-CN"/>
              </w:rPr>
              <w:t>8</w:t>
            </w:r>
            <w:r>
              <w:rPr>
                <w:rFonts w:hint="eastAsia"/>
                <w:color w:val="000000"/>
                <w:sz w:val="24"/>
                <w:szCs w:val="24"/>
              </w:rPr>
              <w:t>日开工，在各参建单位的共同努力下，于201</w:t>
            </w:r>
            <w:r>
              <w:rPr>
                <w:rFonts w:hint="eastAsia"/>
                <w:color w:val="000000"/>
                <w:sz w:val="24"/>
                <w:szCs w:val="24"/>
                <w:lang w:val="en-US" w:eastAsia="zh-CN"/>
              </w:rPr>
              <w:t>5</w:t>
            </w:r>
            <w:r>
              <w:rPr>
                <w:rFonts w:hint="eastAsia"/>
                <w:color w:val="000000"/>
                <w:sz w:val="24"/>
                <w:szCs w:val="24"/>
              </w:rPr>
              <w:t>年</w:t>
            </w:r>
            <w:r>
              <w:rPr>
                <w:rFonts w:hint="eastAsia"/>
                <w:color w:val="000000"/>
                <w:sz w:val="24"/>
                <w:szCs w:val="24"/>
                <w:lang w:val="en-US" w:eastAsia="zh-CN"/>
              </w:rPr>
              <w:t>07</w:t>
            </w:r>
            <w:r>
              <w:rPr>
                <w:rFonts w:hint="eastAsia"/>
                <w:color w:val="000000"/>
                <w:sz w:val="24"/>
                <w:szCs w:val="24"/>
              </w:rPr>
              <w:t>月25日竣工。</w:t>
            </w:r>
          </w:p>
          <w:p>
            <w:pPr>
              <w:widowControl/>
              <w:spacing w:line="360" w:lineRule="auto"/>
              <w:ind w:firstLine="480" w:firstLineChars="200"/>
              <w:jc w:val="left"/>
              <w:rPr>
                <w:color w:val="000000"/>
                <w:sz w:val="24"/>
                <w:szCs w:val="24"/>
              </w:rPr>
            </w:pPr>
            <w:r>
              <w:rPr>
                <w:rFonts w:hint="eastAsia"/>
                <w:color w:val="000000"/>
                <w:sz w:val="24"/>
                <w:szCs w:val="24"/>
              </w:rPr>
              <w:t>工程经竣工验收，符合现行法律、规范要求；符合现行工程建设标准；符合设计文件要求；符合施工合同要求；单位工程合格，主体工程符合设计要求，工程整体质量合格。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9500" w:type="dxa"/>
            <w:gridSpan w:val="9"/>
            <w:vAlign w:val="center"/>
          </w:tcPr>
          <w:p>
            <w:pPr>
              <w:widowControl/>
              <w:rPr>
                <w:color w:val="000000"/>
                <w:sz w:val="28"/>
                <w:szCs w:val="28"/>
              </w:rPr>
            </w:pPr>
            <w:r>
              <w:rPr>
                <w:rFonts w:hint="eastAsia" w:ascii="Calibri" w:hAnsi="Calibri" w:eastAsia="宋体" w:cs="黑体"/>
                <w:color w:val="000000"/>
                <w:kern w:val="2"/>
                <w:sz w:val="28"/>
                <w:szCs w:val="28"/>
                <w:lang w:val="en-US" w:eastAsia="zh-CN" w:bidi="ar-SA"/>
              </w:rPr>
              <w:pict>
                <v:shape id="图片 1" o:spid="_x0000_s1027" type="#_x0000_t75" style="position:absolute;left:0;margin-left:85.8pt;margin-top:5.6pt;height:38.85pt;width:71.25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hint="eastAsia"/>
                <w:color w:val="000000"/>
                <w:sz w:val="28"/>
                <w:szCs w:val="28"/>
              </w:rPr>
              <w:t xml:space="preserve">验收负责人：                    日期：       </w:t>
            </w:r>
          </w:p>
        </w:tc>
      </w:tr>
    </w:tbl>
    <w:p>
      <w:pPr>
        <w:widowControl/>
        <w:jc w:val="left"/>
        <w:rPr>
          <w:color w:val="000000"/>
          <w:sz w:val="28"/>
          <w:szCs w:val="28"/>
        </w:rPr>
      </w:pPr>
    </w:p>
    <w:sectPr>
      <w:footerReference r:id="rId4" w:type="default"/>
      <w:pgSz w:w="11906" w:h="16838"/>
      <w:pgMar w:top="1440" w:right="1644" w:bottom="144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2604504">
    <w:nsid w:val="19306ED8"/>
    <w:multiLevelType w:val="multilevel"/>
    <w:tmpl w:val="19306ED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36668503">
    <w:nsid w:val="49B61057"/>
    <w:multiLevelType w:val="multilevel"/>
    <w:tmpl w:val="49B61057"/>
    <w:lvl w:ilvl="0" w:tentative="1">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05064472">
    <w:nsid w:val="2A066E18"/>
    <w:multiLevelType w:val="multilevel"/>
    <w:tmpl w:val="2A066E1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8402713">
    <w:nsid w:val="1BEB4219"/>
    <w:multiLevelType w:val="multilevel"/>
    <w:tmpl w:val="1BEB4219"/>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5988224">
    <w:nsid w:val="38FB3900"/>
    <w:multiLevelType w:val="multilevel"/>
    <w:tmpl w:val="38FB3900"/>
    <w:lvl w:ilvl="0" w:tentative="1">
      <w:start w:val="1"/>
      <w:numFmt w:val="decimal"/>
      <w:lvlText w:val="%1)"/>
      <w:lvlJc w:val="left"/>
      <w:pPr>
        <w:ind w:left="84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46867874">
    <w:nsid w:val="5C3354A2"/>
    <w:multiLevelType w:val="multilevel"/>
    <w:tmpl w:val="5C3354A2"/>
    <w:lvl w:ilvl="0" w:tentative="1">
      <w:start w:val="1"/>
      <w:numFmt w:val="decimal"/>
      <w:lvlText w:val="%1."/>
      <w:lvlJc w:val="left"/>
      <w:pPr>
        <w:ind w:left="840" w:hanging="420"/>
      </w:pPr>
    </w:lvl>
    <w:lvl w:ilvl="1" w:tentative="1">
      <w:start w:val="1"/>
      <w:numFmt w:val="decimal"/>
      <w:isLgl/>
      <w:lvlText w:val="%1.%2"/>
      <w:lvlJc w:val="left"/>
      <w:pPr>
        <w:ind w:left="780" w:hanging="360"/>
      </w:pPr>
      <w:rPr>
        <w:rFonts w:hint="default"/>
      </w:rPr>
    </w:lvl>
    <w:lvl w:ilvl="2" w:tentative="1">
      <w:start w:val="1"/>
      <w:numFmt w:val="decimal"/>
      <w:isLgl/>
      <w:lvlText w:val="%1.%2.%3"/>
      <w:lvlJc w:val="left"/>
      <w:pPr>
        <w:ind w:left="1140" w:hanging="720"/>
      </w:pPr>
      <w:rPr>
        <w:rFonts w:hint="default"/>
      </w:rPr>
    </w:lvl>
    <w:lvl w:ilvl="3" w:tentative="1">
      <w:start w:val="1"/>
      <w:numFmt w:val="decimal"/>
      <w:isLgl/>
      <w:lvlText w:val="%1.%2.%3.%4"/>
      <w:lvlJc w:val="left"/>
      <w:pPr>
        <w:ind w:left="1140" w:hanging="720"/>
      </w:pPr>
      <w:rPr>
        <w:rFonts w:hint="default"/>
      </w:rPr>
    </w:lvl>
    <w:lvl w:ilvl="4" w:tentative="1">
      <w:start w:val="1"/>
      <w:numFmt w:val="decimal"/>
      <w:isLgl/>
      <w:lvlText w:val="%1.%2.%3.%4.%5"/>
      <w:lvlJc w:val="left"/>
      <w:pPr>
        <w:ind w:left="1500" w:hanging="1080"/>
      </w:pPr>
      <w:rPr>
        <w:rFonts w:hint="default"/>
      </w:rPr>
    </w:lvl>
    <w:lvl w:ilvl="5" w:tentative="1">
      <w:start w:val="1"/>
      <w:numFmt w:val="decimal"/>
      <w:isLgl/>
      <w:lvlText w:val="%1.%2.%3.%4.%5.%6"/>
      <w:lvlJc w:val="left"/>
      <w:pPr>
        <w:ind w:left="1500" w:hanging="1080"/>
      </w:pPr>
      <w:rPr>
        <w:rFonts w:hint="default"/>
      </w:rPr>
    </w:lvl>
    <w:lvl w:ilvl="6" w:tentative="1">
      <w:start w:val="1"/>
      <w:numFmt w:val="decimal"/>
      <w:isLgl/>
      <w:lvlText w:val="%1.%2.%3.%4.%5.%6.%7"/>
      <w:lvlJc w:val="left"/>
      <w:pPr>
        <w:ind w:left="1860" w:hanging="1440"/>
      </w:pPr>
      <w:rPr>
        <w:rFonts w:hint="default"/>
      </w:rPr>
    </w:lvl>
    <w:lvl w:ilvl="7" w:tentative="1">
      <w:start w:val="1"/>
      <w:numFmt w:val="decimal"/>
      <w:isLgl/>
      <w:lvlText w:val="%1.%2.%3.%4.%5.%6.%7.%8"/>
      <w:lvlJc w:val="left"/>
      <w:pPr>
        <w:ind w:left="1860" w:hanging="1440"/>
      </w:pPr>
      <w:rPr>
        <w:rFonts w:hint="default"/>
      </w:rPr>
    </w:lvl>
    <w:lvl w:ilvl="8" w:tentative="1">
      <w:start w:val="1"/>
      <w:numFmt w:val="decimal"/>
      <w:isLgl/>
      <w:lvlText w:val="%1.%2.%3.%4.%5.%6.%7.%8.%9"/>
      <w:lvlJc w:val="left"/>
      <w:pPr>
        <w:ind w:left="2220" w:hanging="1800"/>
      </w:pPr>
      <w:rPr>
        <w:rFonts w:hint="default"/>
      </w:rPr>
    </w:lvl>
  </w:abstractNum>
  <w:abstractNum w:abstractNumId="1541672263">
    <w:nsid w:val="5BE40D47"/>
    <w:multiLevelType w:val="multilevel"/>
    <w:tmpl w:val="5BE40D4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68402713"/>
  </w:num>
  <w:num w:numId="2">
    <w:abstractNumId w:val="1546867874"/>
  </w:num>
  <w:num w:numId="3">
    <w:abstractNumId w:val="422604504"/>
  </w:num>
  <w:num w:numId="4">
    <w:abstractNumId w:val="1541672263"/>
  </w:num>
  <w:num w:numId="5">
    <w:abstractNumId w:val="705064472"/>
  </w:num>
  <w:num w:numId="6">
    <w:abstractNumId w:val="1236668503"/>
  </w:num>
  <w:num w:numId="7">
    <w:abstractNumId w:val="955988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5355"/>
    <w:rsid w:val="00013D3F"/>
    <w:rsid w:val="000727A5"/>
    <w:rsid w:val="001030AA"/>
    <w:rsid w:val="00106134"/>
    <w:rsid w:val="00124A1A"/>
    <w:rsid w:val="001369CA"/>
    <w:rsid w:val="001614B6"/>
    <w:rsid w:val="00321C11"/>
    <w:rsid w:val="003669F2"/>
    <w:rsid w:val="00397FBE"/>
    <w:rsid w:val="00525355"/>
    <w:rsid w:val="006F25F2"/>
    <w:rsid w:val="006F765E"/>
    <w:rsid w:val="00811436"/>
    <w:rsid w:val="00866139"/>
    <w:rsid w:val="0092338A"/>
    <w:rsid w:val="00BD3BE3"/>
    <w:rsid w:val="00BF7FC2"/>
    <w:rsid w:val="00C35C08"/>
    <w:rsid w:val="00C65F83"/>
    <w:rsid w:val="00C73415"/>
    <w:rsid w:val="00D75193"/>
    <w:rsid w:val="00E10C33"/>
    <w:rsid w:val="00E840F9"/>
    <w:rsid w:val="00E95E90"/>
    <w:rsid w:val="00EB7CB6"/>
    <w:rsid w:val="00F672A2"/>
    <w:rsid w:val="00F94727"/>
    <w:rsid w:val="128A73F8"/>
    <w:rsid w:val="423676B0"/>
    <w:rsid w:val="6A071E00"/>
    <w:rsid w:val="75E605FD"/>
    <w:rsid w:val="7AD2641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3"/>
    <w:qFormat/>
    <w:uiPriority w:val="0"/>
    <w:pPr>
      <w:spacing w:before="100" w:beforeAutospacing="1" w:after="100" w:afterAutospacing="1"/>
      <w:jc w:val="left"/>
      <w:outlineLvl w:val="0"/>
    </w:pPr>
    <w:rPr>
      <w:rFonts w:ascii="宋体" w:hAnsi="宋体"/>
    </w:rPr>
  </w:style>
  <w:style w:type="table" w:styleId="8">
    <w:name w:val="Table Grid"/>
    <w:basedOn w:val="7"/>
    <w:uiPriority w:val="5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 w:type="character" w:customStyle="1" w:styleId="11">
    <w:name w:val="页眉 Char"/>
    <w:basedOn w:val="6"/>
    <w:link w:val="4"/>
    <w:uiPriority w:val="99"/>
    <w:rPr>
      <w:sz w:val="18"/>
      <w:szCs w:val="18"/>
    </w:rPr>
  </w:style>
  <w:style w:type="character" w:customStyle="1" w:styleId="12">
    <w:name w:val="页脚 Char"/>
    <w:basedOn w:val="6"/>
    <w:link w:val="3"/>
    <w:uiPriority w:val="99"/>
    <w:rPr>
      <w:sz w:val="18"/>
      <w:szCs w:val="18"/>
    </w:rPr>
  </w:style>
  <w:style w:type="character" w:customStyle="1" w:styleId="13">
    <w:name w:val="标题 Char"/>
    <w:link w:val="5"/>
    <w:uiPriority w:val="0"/>
    <w:rPr>
      <w:rFonts w:ascii="宋体" w:hAnsi="宋体"/>
    </w:rPr>
  </w:style>
  <w:style w:type="character" w:customStyle="1" w:styleId="14">
    <w:name w:val="标题 Char1"/>
    <w:basedOn w:val="6"/>
    <w:uiPriority w:val="1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1311</Words>
  <Characters>7479</Characters>
  <Lines>62</Lines>
  <Paragraphs>17</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2014-11-04T07:14:00Z</dcterms:created>
  <dc:creator>DELL-N4050</dc:creator>
  <cp:keywords>正衡监理</cp:keywords>
  <cp:lastModifiedBy>Administrator</cp:lastModifiedBy>
  <cp:lastPrinted>2014-11-08T06:20:00Z</cp:lastPrinted>
  <dcterms:modified xsi:type="dcterms:W3CDTF">2015-09-18T06:27:53Z</dcterms:modified>
  <dc:title>初检报告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