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DD" w:rsidRDefault="00A34FDD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5369442" cy="8155173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文档 2017-06-18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434" cy="81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DD" w:rsidRDefault="00A34FDD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291A15" w:rsidRDefault="00A34FDD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尊敬的各位领导、各位专家，你们好！</w:t>
      </w:r>
    </w:p>
    <w:p w:rsidR="00291A15" w:rsidRDefault="00A34FDD">
      <w:pPr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Cs/>
          <w:sz w:val="28"/>
          <w:szCs w:val="28"/>
        </w:rPr>
        <w:t>中地能源白水20兆瓦光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伏农业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科技大棚电站项目</w:t>
      </w:r>
      <w:r>
        <w:rPr>
          <w:rFonts w:ascii="宋体" w:hAnsi="宋体" w:cs="宋体" w:hint="eastAsia"/>
          <w:spacing w:val="-2"/>
          <w:sz w:val="28"/>
          <w:szCs w:val="28"/>
        </w:rPr>
        <w:t>工程的监理工作情况，向各位领导、专家做一汇报</w:t>
      </w:r>
      <w:bookmarkStart w:id="0" w:name="_Toc404090719"/>
      <w:r>
        <w:rPr>
          <w:rFonts w:ascii="宋体" w:hAnsi="宋体" w:cs="宋体" w:hint="eastAsia"/>
          <w:spacing w:val="-2"/>
          <w:sz w:val="28"/>
          <w:szCs w:val="28"/>
        </w:rPr>
        <w:t>：</w:t>
      </w:r>
    </w:p>
    <w:bookmarkEnd w:id="0"/>
    <w:p w:rsidR="00291A15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一、项目概况</w:t>
      </w:r>
    </w:p>
    <w:p w:rsidR="00291A15" w:rsidRDefault="00A34FD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本项目位于白水县冯雷村南约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米处，占地约</w:t>
      </w:r>
      <w:r>
        <w:rPr>
          <w:rFonts w:hint="eastAsia"/>
          <w:sz w:val="28"/>
          <w:szCs w:val="28"/>
        </w:rPr>
        <w:t>955</w:t>
      </w:r>
      <w:r>
        <w:rPr>
          <w:rFonts w:hint="eastAsia"/>
          <w:sz w:val="28"/>
          <w:szCs w:val="28"/>
        </w:rPr>
        <w:t>亩，该项目为光伏生态农业一体化，集光伏发电、农业大棚区和抬高支架开放式种植区为一体，总装机容量为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兆瓦。</w:t>
      </w:r>
    </w:p>
    <w:p w:rsidR="00291A15" w:rsidRDefault="00A34FDD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从生产设施上分为厂前办公区和农光互补生产区。厂前办公区建构筑物有综合办公楼、电控室、门卫、消防水池、污水收集池、隔油池、化粪池等。农光互补生产区包含两部分：农业大棚区，抬高支架开放式种植区。农业大棚区包含10座</w:t>
      </w:r>
      <w:proofErr w:type="gramStart"/>
      <w:r>
        <w:rPr>
          <w:rFonts w:ascii="宋体" w:eastAsia="宋体" w:hAnsi="宋体" w:hint="eastAsia"/>
          <w:sz w:val="28"/>
          <w:szCs w:val="28"/>
        </w:rPr>
        <w:t>日光型冬暖</w:t>
      </w:r>
      <w:proofErr w:type="gramEnd"/>
      <w:r>
        <w:rPr>
          <w:rFonts w:ascii="宋体" w:eastAsia="宋体" w:hAnsi="宋体" w:hint="eastAsia"/>
          <w:sz w:val="28"/>
          <w:szCs w:val="28"/>
        </w:rPr>
        <w:t>温室大棚、100座春秋棚。抬高支架开放式种植区为1210组抬高支架，组件最低点距地2.0m。农业灌溉设施包含1座2000m³蓄水池及泵房、灌溉管道。</w:t>
      </w:r>
    </w:p>
    <w:p w:rsidR="00291A15" w:rsidRDefault="00A34FDD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本工程采用分块发电，集中并网的设计方案。将系统分成15个1.25MW并网发电单元。每个1.25MW发电单元由相应容量组件、约14台汇流箱、1台1.25MW集装箱式中压逆变房组成。本项目光</w:t>
      </w:r>
      <w:proofErr w:type="gramStart"/>
      <w:r>
        <w:rPr>
          <w:rFonts w:ascii="宋体" w:eastAsia="宋体" w:hAnsi="宋体" w:hint="eastAsia"/>
          <w:sz w:val="28"/>
          <w:szCs w:val="28"/>
        </w:rPr>
        <w:t>伏</w:t>
      </w:r>
      <w:proofErr w:type="gramEnd"/>
      <w:r>
        <w:rPr>
          <w:rFonts w:ascii="宋体" w:eastAsia="宋体" w:hAnsi="宋体" w:hint="eastAsia"/>
          <w:sz w:val="28"/>
          <w:szCs w:val="28"/>
        </w:rPr>
        <w:t>进线为4路,集中升压至35kV，汇集到电控室内35kV配电室。35kV</w:t>
      </w:r>
      <w:proofErr w:type="gramStart"/>
      <w:r>
        <w:rPr>
          <w:rFonts w:ascii="宋体" w:eastAsia="宋体" w:hAnsi="宋体" w:hint="eastAsia"/>
          <w:sz w:val="28"/>
          <w:szCs w:val="28"/>
        </w:rPr>
        <w:t>侧采用</w:t>
      </w:r>
      <w:proofErr w:type="gramEnd"/>
      <w:r>
        <w:rPr>
          <w:rFonts w:ascii="宋体" w:eastAsia="宋体" w:hAnsi="宋体" w:hint="eastAsia"/>
          <w:sz w:val="28"/>
          <w:szCs w:val="28"/>
        </w:rPr>
        <w:t>单母线接线。最终以一回35kV架空线路接入刘家</w:t>
      </w:r>
      <w:proofErr w:type="gramStart"/>
      <w:r>
        <w:rPr>
          <w:rFonts w:ascii="宋体" w:eastAsia="宋体" w:hAnsi="宋体" w:hint="eastAsia"/>
          <w:sz w:val="28"/>
          <w:szCs w:val="28"/>
        </w:rPr>
        <w:t>卓</w:t>
      </w:r>
      <w:proofErr w:type="gramEnd"/>
      <w:r>
        <w:rPr>
          <w:rFonts w:ascii="宋体" w:eastAsia="宋体" w:hAnsi="宋体" w:hint="eastAsia"/>
          <w:sz w:val="28"/>
          <w:szCs w:val="28"/>
        </w:rPr>
        <w:t>变电站35kV低压侧，长度约7.4公里。刘家</w:t>
      </w:r>
      <w:proofErr w:type="gramStart"/>
      <w:r>
        <w:rPr>
          <w:rFonts w:ascii="宋体" w:eastAsia="宋体" w:hAnsi="宋体" w:hint="eastAsia"/>
          <w:sz w:val="28"/>
          <w:szCs w:val="28"/>
        </w:rPr>
        <w:t>卓</w:t>
      </w:r>
      <w:proofErr w:type="gramEnd"/>
      <w:r>
        <w:rPr>
          <w:rFonts w:ascii="宋体" w:eastAsia="宋体" w:hAnsi="宋体" w:hint="eastAsia"/>
          <w:sz w:val="28"/>
          <w:szCs w:val="28"/>
        </w:rPr>
        <w:t>变电站扩建35kV间隔1个。设备基础土建、</w:t>
      </w:r>
      <w:proofErr w:type="gramStart"/>
      <w:r>
        <w:rPr>
          <w:rFonts w:ascii="宋体" w:eastAsia="宋体" w:hAnsi="宋体" w:hint="eastAsia"/>
          <w:sz w:val="28"/>
          <w:szCs w:val="28"/>
        </w:rPr>
        <w:t>光伏区</w:t>
      </w:r>
      <w:proofErr w:type="gramEnd"/>
      <w:r>
        <w:rPr>
          <w:rFonts w:ascii="宋体" w:eastAsia="宋体" w:hAnsi="宋体" w:hint="eastAsia"/>
          <w:sz w:val="28"/>
          <w:szCs w:val="28"/>
        </w:rPr>
        <w:t>PHC打桩、支架及组件安装等主要工作。</w:t>
      </w:r>
    </w:p>
    <w:p w:rsidR="00291A15" w:rsidRDefault="00A34FDD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本工程计划工期180天，开工时间：2017年2月15日。</w:t>
      </w:r>
    </w:p>
    <w:p w:rsidR="00291A15" w:rsidRDefault="00A34FDD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1.1参建单位：</w:t>
      </w:r>
    </w:p>
    <w:p w:rsidR="00291A15" w:rsidRDefault="00A34FDD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建设单位：</w:t>
      </w:r>
      <w:r>
        <w:rPr>
          <w:rFonts w:ascii="宋体" w:eastAsia="宋体" w:hAnsi="宋体" w:cs="宋体" w:hint="eastAsia"/>
          <w:bCs/>
          <w:sz w:val="28"/>
          <w:szCs w:val="28"/>
        </w:rPr>
        <w:t>陕西中地能源开发建设有限公司白水分公司</w:t>
      </w:r>
    </w:p>
    <w:p w:rsidR="00291A15" w:rsidRDefault="00A34FDD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总包单位：中国新时代国际工程公司</w:t>
      </w:r>
    </w:p>
    <w:p w:rsidR="00291A15" w:rsidRDefault="00A34FDD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施工单位：</w:t>
      </w:r>
      <w:r>
        <w:rPr>
          <w:rFonts w:ascii="宋体" w:hAnsi="宋体" w:cs="宋体" w:hint="eastAsia"/>
          <w:bCs/>
          <w:sz w:val="28"/>
          <w:szCs w:val="28"/>
        </w:rPr>
        <w:t>宁夏伊斯特能源科技有限公司</w:t>
      </w:r>
    </w:p>
    <w:p w:rsidR="00291A15" w:rsidRDefault="00A34FDD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 xml:space="preserve">              渭南市三泰电力设备工程有限责任公司</w:t>
      </w:r>
    </w:p>
    <w:p w:rsidR="00291A15" w:rsidRDefault="00A34FDD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设计单位：</w:t>
      </w:r>
      <w:r>
        <w:rPr>
          <w:rFonts w:ascii="宋体" w:eastAsia="宋体" w:hAnsi="宋体" w:cs="宋体" w:hint="eastAsia"/>
          <w:bCs/>
          <w:sz w:val="28"/>
          <w:szCs w:val="28"/>
        </w:rPr>
        <w:t>中国新时代国际工程公司</w:t>
      </w:r>
    </w:p>
    <w:p w:rsidR="00291A15" w:rsidRDefault="00A34FD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监理单位：常州正衡电力工程监理有限公司</w:t>
      </w:r>
    </w:p>
    <w:p w:rsidR="00291A15" w:rsidRDefault="00A34FD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试验单位：陕西鼎成电力工程有限公司</w:t>
      </w:r>
    </w:p>
    <w:p w:rsidR="00291A15" w:rsidRDefault="00A34FDD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1.2开工日期：</w:t>
      </w:r>
    </w:p>
    <w:p w:rsidR="00291A15" w:rsidRDefault="00A34FD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本工程开工时间，电控楼、综合楼、光伏场区于2017年2月15日开工，结束时间为2017年6月12日，外线实际施工于2017年2月15日，结束时间为2017年5月28日。</w:t>
      </w:r>
    </w:p>
    <w:p w:rsidR="00291A15" w:rsidRDefault="00A34FDD">
      <w:pPr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二、监理范围：</w:t>
      </w:r>
      <w:r>
        <w:rPr>
          <w:rFonts w:ascii="宋体" w:eastAsia="宋体" w:hAnsi="宋体" w:cs="宋体" w:hint="eastAsia"/>
          <w:sz w:val="28"/>
          <w:szCs w:val="28"/>
        </w:rPr>
        <w:t>光伏场区15个光伏发电区域的土建和机电安装工程。</w:t>
      </w:r>
      <w:r>
        <w:rPr>
          <w:rFonts w:hint="eastAsia"/>
          <w:sz w:val="28"/>
          <w:szCs w:val="28"/>
        </w:rPr>
        <w:t>设备进场到货检验、设备基础施工检查验收、设备安装控制、设备调试项目等。</w:t>
      </w:r>
    </w:p>
    <w:p w:rsidR="00291A15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三、监理验收依据：</w:t>
      </w:r>
    </w:p>
    <w:p w:rsidR="00291A15" w:rsidRDefault="00A34FDD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《光伏发电工程验收规范》（GB/T50796-2012)</w:t>
      </w:r>
    </w:p>
    <w:p w:rsidR="00291A15" w:rsidRDefault="00A34FDD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《35KV-110KV变电站自动化系统验收规范》（DL/T-1101-2009</w:t>
      </w:r>
    </w:p>
    <w:p w:rsidR="00291A15" w:rsidRDefault="00A34FDD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《电气装置安装工程66KV及以下架空电力线路施工及验收规范》（GB50173-2014)</w:t>
      </w:r>
    </w:p>
    <w:p w:rsidR="00291A15" w:rsidRDefault="00A34FDD">
      <w:pPr>
        <w:pStyle w:val="a3"/>
        <w:snapToGrid w:val="0"/>
        <w:spacing w:line="360" w:lineRule="auto"/>
        <w:ind w:firstLineChars="0" w:firstLine="0"/>
        <w:jc w:val="left"/>
        <w:rPr>
          <w:rFonts w:ascii="宋体" w:hAnsi="宋体" w:cs="宋体"/>
          <w:b/>
          <w:sz w:val="24"/>
          <w:lang w:val="en-BZ"/>
        </w:rPr>
      </w:pPr>
      <w:r>
        <w:rPr>
          <w:rFonts w:ascii="宋体" w:hAnsi="宋体" w:cs="宋体" w:hint="eastAsia"/>
          <w:sz w:val="24"/>
        </w:rPr>
        <w:t xml:space="preserve">四、 </w:t>
      </w:r>
      <w:r>
        <w:rPr>
          <w:rFonts w:ascii="宋体" w:hAnsi="宋体" w:cs="宋体" w:hint="eastAsia"/>
          <w:b/>
          <w:sz w:val="24"/>
          <w:lang w:val="en-BZ"/>
        </w:rPr>
        <w:t xml:space="preserve"> 已形成管理资料、质量资料：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95"/>
        <w:gridCol w:w="834"/>
        <w:gridCol w:w="766"/>
        <w:gridCol w:w="2884"/>
        <w:gridCol w:w="780"/>
      </w:tblGrid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lang w:val="en-BZ"/>
              </w:rPr>
            </w:pPr>
            <w:r>
              <w:rPr>
                <w:rFonts w:ascii="宋体" w:hAnsi="宋体" w:cs="宋体" w:hint="eastAsia"/>
                <w:b/>
                <w:sz w:val="24"/>
                <w:lang w:val="en-BZ"/>
              </w:rPr>
              <w:t>序号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lang w:val="en-BZ"/>
              </w:rPr>
            </w:pPr>
            <w:r>
              <w:rPr>
                <w:rFonts w:ascii="宋体" w:hAnsi="宋体" w:cs="宋体" w:hint="eastAsia"/>
                <w:b/>
                <w:sz w:val="24"/>
                <w:lang w:val="en-BZ"/>
              </w:rPr>
              <w:t>资料名称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lang w:val="en-BZ"/>
              </w:rPr>
            </w:pPr>
            <w:r>
              <w:rPr>
                <w:rFonts w:ascii="宋体" w:hAnsi="宋体" w:cs="宋体" w:hint="eastAsia"/>
                <w:b/>
                <w:sz w:val="24"/>
                <w:lang w:val="en-BZ"/>
              </w:rPr>
              <w:t>数量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lang w:val="en-BZ"/>
              </w:rPr>
            </w:pPr>
            <w:r>
              <w:rPr>
                <w:rFonts w:ascii="宋体" w:hAnsi="宋体" w:cs="宋体" w:hint="eastAsia"/>
                <w:b/>
                <w:sz w:val="24"/>
                <w:lang w:val="en-BZ"/>
              </w:rPr>
              <w:t>序号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lang w:val="en-BZ"/>
              </w:rPr>
            </w:pPr>
            <w:r>
              <w:rPr>
                <w:rFonts w:ascii="宋体" w:hAnsi="宋体" w:cs="宋体" w:hint="eastAsia"/>
                <w:b/>
                <w:sz w:val="24"/>
                <w:lang w:val="en-BZ"/>
              </w:rPr>
              <w:t>资料名称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lang w:val="en-BZ"/>
              </w:rPr>
            </w:pPr>
            <w:r>
              <w:rPr>
                <w:rFonts w:ascii="宋体" w:hAnsi="宋体" w:cs="宋体" w:hint="eastAsia"/>
                <w:b/>
                <w:sz w:val="24"/>
                <w:lang w:val="en-BZ"/>
              </w:rPr>
              <w:t>数量</w:t>
            </w:r>
          </w:p>
        </w:tc>
      </w:tr>
      <w:tr w:rsidR="00291A15">
        <w:tc>
          <w:tcPr>
            <w:tcW w:w="9576" w:type="dxa"/>
            <w:gridSpan w:val="6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lang w:val="en-BZ"/>
              </w:rPr>
              <w:t>监理管理资料（第一卷）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企业资质、人员资质</w:t>
            </w:r>
            <w:r>
              <w:rPr>
                <w:rFonts w:ascii="宋体" w:hAnsi="宋体" w:cs="宋体" w:hint="eastAsia"/>
                <w:sz w:val="24"/>
              </w:rPr>
              <w:t xml:space="preserve"> 、任命书监理合同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监理规划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监理大刚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监理土建、电气细则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2份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质量通病防治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监理旁站方案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监理质量验收方案、验收划分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监理强制性条文执行记录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监理应急预案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开工报告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</w:tr>
      <w:tr w:rsidR="00291A15">
        <w:tc>
          <w:tcPr>
            <w:tcW w:w="9576" w:type="dxa"/>
            <w:gridSpan w:val="6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lang w:val="en-BZ"/>
              </w:rPr>
              <w:t>施工质量资料（第二卷）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图纸会审记录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3次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监理工作联系单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监理通知单、回复单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监理文件审查记录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安全会议纪要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监理技术、安全交底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监理计量</w:t>
            </w:r>
            <w:proofErr w:type="gramStart"/>
            <w:r>
              <w:rPr>
                <w:rFonts w:ascii="宋体" w:hAnsi="宋体" w:cs="宋体" w:hint="eastAsia"/>
                <w:sz w:val="24"/>
                <w:lang w:val="en-BZ"/>
              </w:rPr>
              <w:t>器具台</w:t>
            </w:r>
            <w:proofErr w:type="gramEnd"/>
            <w:r>
              <w:rPr>
                <w:rFonts w:ascii="宋体" w:hAnsi="宋体" w:cs="宋体" w:hint="eastAsia"/>
                <w:sz w:val="24"/>
                <w:lang w:val="en-BZ"/>
              </w:rPr>
              <w:t>账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监理质量检查记录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监理图纸预检预审记录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监理设备、材料</w:t>
            </w:r>
            <w:proofErr w:type="gramStart"/>
            <w:r>
              <w:rPr>
                <w:rFonts w:ascii="宋体" w:hAnsi="宋体" w:cs="宋体" w:hint="eastAsia"/>
                <w:sz w:val="24"/>
                <w:lang w:val="en-BZ"/>
              </w:rPr>
              <w:t>进场台</w:t>
            </w:r>
            <w:proofErr w:type="gramEnd"/>
            <w:r>
              <w:rPr>
                <w:rFonts w:ascii="宋体" w:hAnsi="宋体" w:cs="宋体" w:hint="eastAsia"/>
                <w:sz w:val="24"/>
                <w:lang w:val="en-BZ"/>
              </w:rPr>
              <w:t>账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监理平行检验记录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监理工程确认单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6次</w:t>
            </w:r>
          </w:p>
        </w:tc>
      </w:tr>
      <w:tr w:rsidR="00291A15">
        <w:tc>
          <w:tcPr>
            <w:tcW w:w="9576" w:type="dxa"/>
            <w:gridSpan w:val="6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会议纪要、总结</w:t>
            </w:r>
            <w:r>
              <w:rPr>
                <w:rFonts w:ascii="宋体" w:hAnsi="宋体" w:cs="宋体" w:hint="eastAsia"/>
                <w:b/>
                <w:bCs/>
                <w:sz w:val="24"/>
                <w:lang w:val="en-BZ"/>
              </w:rPr>
              <w:t>资料（第三卷</w:t>
            </w:r>
            <w:r>
              <w:rPr>
                <w:rFonts w:ascii="宋体" w:hAnsi="宋体" w:cs="宋体" w:hint="eastAsia"/>
                <w:sz w:val="24"/>
                <w:lang w:val="en-BZ"/>
              </w:rPr>
              <w:t>）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监理会议记要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监理专题会议记要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监理职工培训记录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lang w:val="en-BZ"/>
              </w:rPr>
              <w:t>监理监理</w:t>
            </w:r>
            <w:proofErr w:type="gramEnd"/>
            <w:r>
              <w:rPr>
                <w:rFonts w:ascii="宋体" w:hAnsi="宋体" w:cs="宋体" w:hint="eastAsia"/>
                <w:sz w:val="24"/>
                <w:lang w:val="en-BZ"/>
              </w:rPr>
              <w:t>月报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监理质量评估报告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监理初检报告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2份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监理工作总结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  <w:tc>
          <w:tcPr>
            <w:tcW w:w="766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88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r>
              <w:rPr>
                <w:rFonts w:ascii="宋体" w:hAnsi="宋体" w:cs="宋体" w:hint="eastAsia"/>
                <w:sz w:val="24"/>
                <w:lang w:val="en-BZ"/>
              </w:rPr>
              <w:t>监理日记</w:t>
            </w:r>
          </w:p>
        </w:tc>
        <w:tc>
          <w:tcPr>
            <w:tcW w:w="780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2本</w:t>
            </w:r>
          </w:p>
        </w:tc>
      </w:tr>
      <w:tr w:rsidR="00291A15">
        <w:tc>
          <w:tcPr>
            <w:tcW w:w="817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3495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lang w:val="en-BZ"/>
              </w:rPr>
              <w:t>送检台</w:t>
            </w:r>
            <w:proofErr w:type="gramEnd"/>
            <w:r>
              <w:rPr>
                <w:rFonts w:ascii="宋体" w:hAnsi="宋体" w:cs="宋体" w:hint="eastAsia"/>
                <w:sz w:val="24"/>
                <w:lang w:val="en-BZ"/>
              </w:rPr>
              <w:t>账</w:t>
            </w:r>
          </w:p>
        </w:tc>
        <w:tc>
          <w:tcPr>
            <w:tcW w:w="834" w:type="dxa"/>
          </w:tcPr>
          <w:p w:rsidR="00291A15" w:rsidRDefault="00A34FDD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1份</w:t>
            </w:r>
          </w:p>
        </w:tc>
        <w:tc>
          <w:tcPr>
            <w:tcW w:w="766" w:type="dxa"/>
          </w:tcPr>
          <w:p w:rsidR="00291A15" w:rsidRDefault="00291A15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884" w:type="dxa"/>
          </w:tcPr>
          <w:p w:rsidR="00291A15" w:rsidRDefault="00291A15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lang w:val="en-BZ"/>
              </w:rPr>
            </w:pPr>
          </w:p>
        </w:tc>
        <w:tc>
          <w:tcPr>
            <w:tcW w:w="780" w:type="dxa"/>
          </w:tcPr>
          <w:p w:rsidR="00291A15" w:rsidRDefault="00291A15">
            <w:pPr>
              <w:pStyle w:val="a3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91A15" w:rsidRDefault="00291A15">
      <w:pPr>
        <w:pStyle w:val="a3"/>
        <w:snapToGrid w:val="0"/>
        <w:spacing w:line="360" w:lineRule="auto"/>
        <w:ind w:firstLineChars="0" w:firstLine="0"/>
        <w:jc w:val="left"/>
        <w:rPr>
          <w:rFonts w:ascii="宋体" w:hAnsi="宋体" w:cs="宋体"/>
          <w:bCs/>
          <w:sz w:val="24"/>
          <w:lang w:val="en-BZ"/>
        </w:rPr>
      </w:pPr>
    </w:p>
    <w:p w:rsidR="00291A15" w:rsidRDefault="00A34FDD">
      <w:pPr>
        <w:pStyle w:val="a3"/>
        <w:numPr>
          <w:ilvl w:val="0"/>
          <w:numId w:val="2"/>
        </w:numPr>
        <w:snapToGrid w:val="0"/>
        <w:spacing w:line="360" w:lineRule="auto"/>
        <w:ind w:firstLineChars="0" w:firstLine="0"/>
        <w:jc w:val="left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分部、分项检验批的验收统计：</w:t>
      </w:r>
    </w:p>
    <w:p w:rsidR="00291A15" w:rsidRDefault="00A34FDD">
      <w:pPr>
        <w:pStyle w:val="a3"/>
        <w:snapToGrid w:val="0"/>
        <w:spacing w:line="360" w:lineRule="auto"/>
        <w:ind w:firstLineChars="0" w:firstLine="0"/>
        <w:jc w:val="left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5.1土建部分：分部分项检验批已验收：（电控楼、综合楼、光伏区）</w:t>
      </w:r>
    </w:p>
    <w:p w:rsidR="00291A15" w:rsidRDefault="00A34FDD">
      <w:pPr>
        <w:pStyle w:val="a3"/>
        <w:snapToGrid w:val="0"/>
        <w:spacing w:line="360" w:lineRule="auto"/>
        <w:ind w:firstLineChars="0" w:firstLine="0"/>
        <w:jc w:val="left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    子分部工程：21项      已验收：21项      合格率：100%</w:t>
      </w:r>
    </w:p>
    <w:p w:rsidR="00291A15" w:rsidRDefault="00A34FDD">
      <w:pPr>
        <w:pStyle w:val="a3"/>
        <w:snapToGrid w:val="0"/>
        <w:spacing w:line="360" w:lineRule="auto"/>
        <w:ind w:firstLineChars="0" w:firstLine="0"/>
        <w:jc w:val="left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    子分项工程：29项      已验收：29项      合格率：100%</w:t>
      </w:r>
    </w:p>
    <w:p w:rsidR="00291A15" w:rsidRDefault="00A34FDD">
      <w:pPr>
        <w:pStyle w:val="a3"/>
        <w:snapToGrid w:val="0"/>
        <w:spacing w:line="360" w:lineRule="auto"/>
        <w:ind w:firstLineChars="0" w:firstLine="481"/>
        <w:jc w:val="left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检验批：619项         已验收：619项     合格率：100%</w:t>
      </w:r>
    </w:p>
    <w:p w:rsidR="00291A15" w:rsidRDefault="00A34FDD">
      <w:pPr>
        <w:pStyle w:val="a3"/>
        <w:snapToGrid w:val="0"/>
        <w:spacing w:line="360" w:lineRule="auto"/>
        <w:ind w:firstLineChars="0" w:firstLine="0"/>
        <w:jc w:val="left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5.2  电气部分：分部分项检验批已验收：（电控楼、综合楼、光伏区）</w:t>
      </w:r>
    </w:p>
    <w:p w:rsidR="00291A15" w:rsidRDefault="00A34FDD">
      <w:pPr>
        <w:pStyle w:val="a3"/>
        <w:snapToGrid w:val="0"/>
        <w:spacing w:line="360" w:lineRule="auto"/>
        <w:ind w:firstLineChars="0" w:firstLine="0"/>
        <w:jc w:val="left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    子分部工程：10项    已验收：10 项        合格率：100%</w:t>
      </w:r>
    </w:p>
    <w:p w:rsidR="00291A15" w:rsidRDefault="00A34FDD">
      <w:pPr>
        <w:pStyle w:val="a3"/>
        <w:snapToGrid w:val="0"/>
        <w:spacing w:line="360" w:lineRule="auto"/>
        <w:ind w:firstLineChars="0" w:firstLine="0"/>
        <w:jc w:val="left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 xml:space="preserve">    子分项工程：40项    已验收：40  项       合格率：100%</w:t>
      </w:r>
    </w:p>
    <w:p w:rsidR="00291A15" w:rsidRDefault="00A34FDD">
      <w:pPr>
        <w:pStyle w:val="a3"/>
        <w:snapToGrid w:val="0"/>
        <w:spacing w:line="360" w:lineRule="auto"/>
        <w:ind w:firstLineChars="0" w:firstLine="481"/>
        <w:jc w:val="left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检验批：    495项   已验收：495  项      合格率：100%</w:t>
      </w:r>
    </w:p>
    <w:p w:rsidR="00291A15" w:rsidRDefault="00A34FDD">
      <w:pPr>
        <w:pStyle w:val="a3"/>
        <w:snapToGrid w:val="0"/>
        <w:spacing w:line="360" w:lineRule="auto"/>
        <w:ind w:firstLineChars="0" w:firstLine="481"/>
        <w:jc w:val="left"/>
        <w:rPr>
          <w:rFonts w:ascii="宋体" w:eastAsia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其中隐蔽工程土建135项、电气104项（检验批）</w:t>
      </w:r>
    </w:p>
    <w:p w:rsidR="00291A15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六、省</w:t>
      </w:r>
      <w:r w:rsidR="00FF2F89">
        <w:rPr>
          <w:rFonts w:hint="eastAsia"/>
          <w:sz w:val="28"/>
          <w:szCs w:val="28"/>
        </w:rPr>
        <w:t>电力</w:t>
      </w:r>
      <w:r>
        <w:rPr>
          <w:rFonts w:hint="eastAsia"/>
          <w:sz w:val="28"/>
          <w:szCs w:val="28"/>
        </w:rPr>
        <w:t>质量中心检查</w:t>
      </w:r>
      <w:r w:rsidR="00FF2F89">
        <w:rPr>
          <w:rFonts w:hint="eastAsia"/>
          <w:sz w:val="28"/>
          <w:szCs w:val="28"/>
        </w:rPr>
        <w:t>提出的需整改项中</w:t>
      </w:r>
      <w:r>
        <w:rPr>
          <w:rFonts w:hint="eastAsia"/>
          <w:sz w:val="28"/>
          <w:szCs w:val="28"/>
        </w:rPr>
        <w:t>，其中监理</w:t>
      </w:r>
      <w:r w:rsidR="00FF2F8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项已</w:t>
      </w:r>
      <w:bookmarkStart w:id="1" w:name="_GoBack"/>
      <w:bookmarkEnd w:id="1"/>
      <w:r>
        <w:rPr>
          <w:rFonts w:hint="eastAsia"/>
          <w:sz w:val="28"/>
          <w:szCs w:val="28"/>
        </w:rPr>
        <w:t>整改闭环，并回复。</w:t>
      </w:r>
    </w:p>
    <w:p w:rsidR="00D105C9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D105C9">
        <w:rPr>
          <w:rFonts w:hint="eastAsia"/>
          <w:sz w:val="28"/>
          <w:szCs w:val="28"/>
        </w:rPr>
        <w:t>质量结论；</w:t>
      </w:r>
    </w:p>
    <w:p w:rsidR="00291A15" w:rsidRDefault="00A34FDD" w:rsidP="00D105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综上所述，本工程光伏组件、逆变器、一体机、电力电缆高压柜、控制屏、</w:t>
      </w:r>
      <w:r>
        <w:rPr>
          <w:rFonts w:hint="eastAsia"/>
          <w:sz w:val="28"/>
          <w:szCs w:val="28"/>
        </w:rPr>
        <w:t>SVG</w:t>
      </w:r>
      <w:r>
        <w:rPr>
          <w:rFonts w:hint="eastAsia"/>
          <w:sz w:val="28"/>
          <w:szCs w:val="28"/>
        </w:rPr>
        <w:t>、消弧变、接地</w:t>
      </w:r>
      <w:proofErr w:type="gramStart"/>
      <w:r>
        <w:rPr>
          <w:rFonts w:hint="eastAsia"/>
          <w:sz w:val="28"/>
          <w:szCs w:val="28"/>
        </w:rPr>
        <w:t>变设备</w:t>
      </w:r>
      <w:proofErr w:type="gramEnd"/>
      <w:r>
        <w:rPr>
          <w:rFonts w:hint="eastAsia"/>
          <w:sz w:val="28"/>
          <w:szCs w:val="28"/>
        </w:rPr>
        <w:t>安装及试验完成，电气试验报告、验评资料齐全。各电器设备安全距离符合规范要求。并已验收签证。一次回路电缆已试验结束。现场整体环境较好，道路通畅，照明充足，配置了灭火器等安全器材，电气防火封堵完好。</w:t>
      </w:r>
    </w:p>
    <w:p w:rsidR="00291A15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bCs/>
          <w:sz w:val="28"/>
          <w:szCs w:val="28"/>
        </w:rPr>
        <w:t>中地能源白水20兆瓦光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伏农业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科技大棚电站项目</w:t>
      </w:r>
      <w:r>
        <w:rPr>
          <w:rFonts w:ascii="宋体" w:hAnsi="宋体" w:cs="宋体" w:hint="eastAsia"/>
          <w:spacing w:val="-2"/>
          <w:sz w:val="28"/>
          <w:szCs w:val="28"/>
        </w:rPr>
        <w:t>工程</w:t>
      </w:r>
      <w:r>
        <w:rPr>
          <w:rFonts w:hint="eastAsia"/>
          <w:sz w:val="28"/>
          <w:szCs w:val="28"/>
        </w:rPr>
        <w:t>，各参建单位质量保证体系健全，远行良好，贯穿项目实施全过程。质量验收项目签证完整，施工记录齐全，数据真实，质量验收制度执行有效，强制性条文执行情况良好，工程总体质量处于受控状态，现场安全文明施工状况良好。本工程已具备整套启动并网条件，</w:t>
      </w:r>
      <w:proofErr w:type="gramStart"/>
      <w:r>
        <w:rPr>
          <w:rFonts w:hint="eastAsia"/>
          <w:sz w:val="28"/>
          <w:szCs w:val="28"/>
        </w:rPr>
        <w:t>提请启委会</w:t>
      </w:r>
      <w:proofErr w:type="gramEnd"/>
      <w:r>
        <w:rPr>
          <w:rFonts w:hint="eastAsia"/>
          <w:sz w:val="28"/>
          <w:szCs w:val="28"/>
        </w:rPr>
        <w:t>审议。</w:t>
      </w:r>
    </w:p>
    <w:p w:rsidR="00291A15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谢谢！</w:t>
      </w:r>
    </w:p>
    <w:p w:rsidR="00291A15" w:rsidRDefault="00291A15">
      <w:pPr>
        <w:rPr>
          <w:sz w:val="28"/>
          <w:szCs w:val="28"/>
        </w:rPr>
      </w:pPr>
    </w:p>
    <w:p w:rsidR="00291A15" w:rsidRDefault="00291A15">
      <w:pPr>
        <w:rPr>
          <w:sz w:val="28"/>
          <w:szCs w:val="28"/>
        </w:rPr>
      </w:pPr>
    </w:p>
    <w:p w:rsidR="00291A15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bCs/>
          <w:sz w:val="28"/>
          <w:szCs w:val="28"/>
        </w:rPr>
        <w:t>中地能源白水20兆瓦光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伏农业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科技大棚电站项目</w:t>
      </w:r>
      <w:r>
        <w:rPr>
          <w:rFonts w:ascii="宋体" w:hAnsi="宋体" w:cs="宋体" w:hint="eastAsia"/>
          <w:spacing w:val="-2"/>
          <w:sz w:val="28"/>
          <w:szCs w:val="28"/>
        </w:rPr>
        <w:t>工程</w:t>
      </w:r>
    </w:p>
    <w:p w:rsidR="00291A15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 w:rsidR="00291A15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291A15" w:rsidRDefault="00291A15">
      <w:pPr>
        <w:rPr>
          <w:sz w:val="28"/>
          <w:szCs w:val="28"/>
        </w:rPr>
      </w:pPr>
    </w:p>
    <w:p w:rsidR="00291A15" w:rsidRDefault="00291A15">
      <w:pPr>
        <w:rPr>
          <w:sz w:val="28"/>
          <w:szCs w:val="28"/>
        </w:rPr>
      </w:pPr>
    </w:p>
    <w:p w:rsidR="00291A15" w:rsidRDefault="00291A15">
      <w:pPr>
        <w:rPr>
          <w:sz w:val="28"/>
          <w:szCs w:val="28"/>
        </w:rPr>
      </w:pPr>
    </w:p>
    <w:p w:rsidR="00291A15" w:rsidRDefault="00A34F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 w:rsidR="00291A15" w:rsidRDefault="00291A15">
      <w:pPr>
        <w:rPr>
          <w:sz w:val="28"/>
          <w:szCs w:val="28"/>
        </w:rPr>
      </w:pPr>
    </w:p>
    <w:p w:rsidR="00291A15" w:rsidRDefault="00291A15">
      <w:pPr>
        <w:rPr>
          <w:sz w:val="28"/>
          <w:szCs w:val="28"/>
        </w:rPr>
      </w:pPr>
    </w:p>
    <w:sectPr w:rsidR="0029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AB89"/>
    <w:multiLevelType w:val="singleLevel"/>
    <w:tmpl w:val="5858AB89"/>
    <w:lvl w:ilvl="0">
      <w:start w:val="1"/>
      <w:numFmt w:val="decimal"/>
      <w:suff w:val="nothing"/>
      <w:lvlText w:val="%1、"/>
      <w:lvlJc w:val="left"/>
    </w:lvl>
  </w:abstractNum>
  <w:abstractNum w:abstractNumId="1">
    <w:nsid w:val="5946623A"/>
    <w:multiLevelType w:val="singleLevel"/>
    <w:tmpl w:val="5946623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15"/>
    <w:rsid w:val="00291A15"/>
    <w:rsid w:val="003E2D27"/>
    <w:rsid w:val="00A34FDD"/>
    <w:rsid w:val="00A47670"/>
    <w:rsid w:val="00D105C9"/>
    <w:rsid w:val="00FF2F89"/>
    <w:rsid w:val="0187380F"/>
    <w:rsid w:val="0ACA543E"/>
    <w:rsid w:val="0EB67DB9"/>
    <w:rsid w:val="0F585864"/>
    <w:rsid w:val="11B43397"/>
    <w:rsid w:val="12303C1B"/>
    <w:rsid w:val="12583414"/>
    <w:rsid w:val="142B5604"/>
    <w:rsid w:val="18BA2B13"/>
    <w:rsid w:val="1F5F26D6"/>
    <w:rsid w:val="20185FE5"/>
    <w:rsid w:val="232D3D54"/>
    <w:rsid w:val="23F321B8"/>
    <w:rsid w:val="2AA062B9"/>
    <w:rsid w:val="2CAC2311"/>
    <w:rsid w:val="314C6B27"/>
    <w:rsid w:val="35D36EB1"/>
    <w:rsid w:val="36FD7D15"/>
    <w:rsid w:val="387069D8"/>
    <w:rsid w:val="3FFD6BD3"/>
    <w:rsid w:val="402A5E5E"/>
    <w:rsid w:val="40DA2D41"/>
    <w:rsid w:val="467F0479"/>
    <w:rsid w:val="46AC132D"/>
    <w:rsid w:val="46EE09A5"/>
    <w:rsid w:val="487B7271"/>
    <w:rsid w:val="4A144B85"/>
    <w:rsid w:val="4B266788"/>
    <w:rsid w:val="4C12372B"/>
    <w:rsid w:val="4D1E49F0"/>
    <w:rsid w:val="501B53FF"/>
    <w:rsid w:val="517D1B48"/>
    <w:rsid w:val="530761BA"/>
    <w:rsid w:val="54C85DF0"/>
    <w:rsid w:val="54E47C07"/>
    <w:rsid w:val="55D62AD4"/>
    <w:rsid w:val="59943FFB"/>
    <w:rsid w:val="5BFE38D8"/>
    <w:rsid w:val="5D6C0FF0"/>
    <w:rsid w:val="600D0370"/>
    <w:rsid w:val="60C735CF"/>
    <w:rsid w:val="60DB545F"/>
    <w:rsid w:val="61253C3E"/>
    <w:rsid w:val="6E1E3403"/>
    <w:rsid w:val="6E8620F2"/>
    <w:rsid w:val="728D726D"/>
    <w:rsid w:val="73865AE8"/>
    <w:rsid w:val="76E034EF"/>
    <w:rsid w:val="78DB2149"/>
    <w:rsid w:val="7B7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sz w:val="28"/>
    </w:rPr>
  </w:style>
  <w:style w:type="paragraph" w:styleId="a4">
    <w:name w:val="Balloon Text"/>
    <w:basedOn w:val="a"/>
    <w:link w:val="Char"/>
    <w:rsid w:val="003E2D27"/>
    <w:rPr>
      <w:sz w:val="18"/>
      <w:szCs w:val="18"/>
    </w:rPr>
  </w:style>
  <w:style w:type="character" w:customStyle="1" w:styleId="Char">
    <w:name w:val="批注框文本 Char"/>
    <w:basedOn w:val="a0"/>
    <w:link w:val="a4"/>
    <w:rsid w:val="003E2D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sz w:val="28"/>
    </w:rPr>
  </w:style>
  <w:style w:type="paragraph" w:styleId="a4">
    <w:name w:val="Balloon Text"/>
    <w:basedOn w:val="a"/>
    <w:link w:val="Char"/>
    <w:rsid w:val="003E2D27"/>
    <w:rPr>
      <w:sz w:val="18"/>
      <w:szCs w:val="18"/>
    </w:rPr>
  </w:style>
  <w:style w:type="character" w:customStyle="1" w:styleId="Char">
    <w:name w:val="批注框文本 Char"/>
    <w:basedOn w:val="a0"/>
    <w:link w:val="a4"/>
    <w:rsid w:val="003E2D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22A3A-A938-4ECB-85AA-F9C28F15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黎亚宁</cp:lastModifiedBy>
  <cp:revision>7</cp:revision>
  <cp:lastPrinted>2017-06-19T03:15:00Z</cp:lastPrinted>
  <dcterms:created xsi:type="dcterms:W3CDTF">2014-10-29T12:08:00Z</dcterms:created>
  <dcterms:modified xsi:type="dcterms:W3CDTF">2017-06-19T03:16:00Z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