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36"/>
        </w:rPr>
      </w:pPr>
      <w:r>
        <w:rPr>
          <w:rFonts w:hint="eastAsia"/>
          <w:bCs/>
          <w:sz w:val="36"/>
        </w:rPr>
        <w:t>施工安全、技术、质量交底记录表</w:t>
      </w:r>
    </w:p>
    <w:p>
      <w:pPr>
        <w:pStyle w:val="18"/>
        <w:tabs>
          <w:tab w:val="right" w:pos="8364"/>
          <w:tab w:val="right" w:pos="9428"/>
          <w:tab w:val="clear" w:pos="7938"/>
        </w:tabs>
        <w:spacing w:line="360" w:lineRule="auto"/>
        <w:ind w:left="0" w:leftChars="0" w:firstLine="8644" w:firstLineChars="4100"/>
        <w:rPr>
          <w:rFonts w:hint="default" w:ascii="宋体" w:hAnsi="宋体" w:eastAsia="宋体" w:cs="宋体"/>
          <w:color w:val="auto"/>
          <w:sz w:val="21"/>
          <w:szCs w:val="21"/>
          <w:lang w:val="en-US" w:eastAsia="zh-CN"/>
        </w:rPr>
      </w:pPr>
      <w:r>
        <w:rPr>
          <w:rFonts w:hint="eastAsia" w:ascii="宋体" w:hAnsi="宋体" w:cs="宋体"/>
          <w:b/>
          <w:bCs/>
          <w:color w:val="auto"/>
          <w:sz w:val="21"/>
          <w:szCs w:val="21"/>
          <w:lang w:eastAsia="zh-CN"/>
        </w:rPr>
        <w:t>编号</w:t>
      </w:r>
      <w:r>
        <w:rPr>
          <w:rFonts w:hint="eastAsia" w:ascii="宋体" w:hAnsi="宋体" w:eastAsia="宋体" w:cs="宋体"/>
          <w:b/>
          <w:bCs/>
          <w:color w:val="auto"/>
          <w:sz w:val="21"/>
          <w:szCs w:val="21"/>
        </w:rPr>
        <w:t>：</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p>
    <w:tbl>
      <w:tblPr>
        <w:tblStyle w:val="15"/>
        <w:tblW w:w="9600" w:type="dxa"/>
        <w:tblInd w:w="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02"/>
        <w:gridCol w:w="646"/>
        <w:gridCol w:w="2744"/>
        <w:gridCol w:w="1568"/>
        <w:gridCol w:w="2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802" w:type="dxa"/>
            <w:tcBorders>
              <w:bottom w:val="single" w:color="000000" w:sz="4" w:space="0"/>
              <w:right w:val="single" w:color="000000" w:sz="4" w:space="0"/>
            </w:tcBorders>
            <w:vAlign w:val="center"/>
          </w:tcPr>
          <w:p>
            <w:pPr>
              <w:pStyle w:val="21"/>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32"/>
              </w:rPr>
            </w:pPr>
            <w:r>
              <w:rPr>
                <w:rFonts w:hint="eastAsia" w:ascii="宋体" w:hAnsi="宋体" w:eastAsia="宋体" w:cs="宋体"/>
                <w:sz w:val="21"/>
                <w:szCs w:val="32"/>
              </w:rPr>
              <w:t>项目名称</w:t>
            </w:r>
          </w:p>
        </w:tc>
        <w:tc>
          <w:tcPr>
            <w:tcW w:w="3390" w:type="dxa"/>
            <w:gridSpan w:val="2"/>
            <w:tcBorders>
              <w:left w:val="single" w:color="000000" w:sz="4" w:space="0"/>
              <w:bottom w:val="single" w:color="000000" w:sz="4" w:space="0"/>
              <w:right w:val="single" w:color="000000" w:sz="4" w:space="0"/>
            </w:tcBorders>
            <w:vAlign w:val="center"/>
          </w:tcPr>
          <w:p>
            <w:pPr>
              <w:pStyle w:val="21"/>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32"/>
                <w:lang w:val="en-US"/>
              </w:rPr>
            </w:pPr>
            <w:r>
              <w:rPr>
                <w:rFonts w:hint="eastAsia" w:ascii="宋体" w:hAnsi="宋体" w:eastAsia="宋体" w:cs="宋体"/>
                <w:sz w:val="21"/>
                <w:szCs w:val="32"/>
                <w:lang w:val="en-US"/>
              </w:rPr>
              <w:t>申宜宜城流水镇100MW</w:t>
            </w:r>
          </w:p>
          <w:p>
            <w:pPr>
              <w:pStyle w:val="21"/>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32"/>
              </w:rPr>
            </w:pPr>
            <w:r>
              <w:rPr>
                <w:rFonts w:hint="eastAsia" w:ascii="宋体" w:hAnsi="宋体" w:eastAsia="宋体" w:cs="宋体"/>
                <w:sz w:val="21"/>
                <w:szCs w:val="32"/>
                <w:lang w:val="en-US"/>
              </w:rPr>
              <w:t>农光互补光伏电站项目</w:t>
            </w:r>
          </w:p>
        </w:tc>
        <w:tc>
          <w:tcPr>
            <w:tcW w:w="1568" w:type="dxa"/>
            <w:tcBorders>
              <w:left w:val="single" w:color="000000" w:sz="4" w:space="0"/>
              <w:bottom w:val="single" w:color="000000" w:sz="4" w:space="0"/>
              <w:right w:val="single" w:color="000000" w:sz="4" w:space="0"/>
            </w:tcBorders>
            <w:vAlign w:val="center"/>
          </w:tcPr>
          <w:p>
            <w:pPr>
              <w:pStyle w:val="21"/>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32"/>
                <w:lang w:eastAsia="zh-CN"/>
              </w:rPr>
            </w:pPr>
            <w:r>
              <w:rPr>
                <w:rFonts w:hint="eastAsia" w:cs="宋体"/>
                <w:sz w:val="21"/>
                <w:szCs w:val="32"/>
                <w:lang w:eastAsia="zh-CN"/>
              </w:rPr>
              <w:t>作业指导书</w:t>
            </w:r>
          </w:p>
        </w:tc>
        <w:tc>
          <w:tcPr>
            <w:tcW w:w="2840" w:type="dxa"/>
            <w:tcBorders>
              <w:left w:val="single" w:color="000000" w:sz="4" w:space="0"/>
              <w:bottom w:val="single" w:color="000000" w:sz="4" w:space="0"/>
            </w:tcBorders>
            <w:vAlign w:val="center"/>
          </w:tcPr>
          <w:p>
            <w:pPr>
              <w:pStyle w:val="21"/>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32"/>
                <w:lang w:val="en-US" w:eastAsia="zh-CN"/>
              </w:rPr>
            </w:pPr>
            <w:r>
              <w:rPr>
                <w:rFonts w:hint="eastAsia" w:cs="宋体"/>
                <w:sz w:val="21"/>
                <w:szCs w:val="32"/>
                <w:lang w:val="en-US" w:eastAsia="zh-CN"/>
              </w:rPr>
              <w:t>施工安全、技术、质量交底书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802" w:type="dxa"/>
            <w:tcBorders>
              <w:top w:val="single" w:color="000000" w:sz="4" w:space="0"/>
              <w:bottom w:val="single" w:color="000000" w:sz="4" w:space="0"/>
              <w:right w:val="single" w:color="000000" w:sz="4" w:space="0"/>
            </w:tcBorders>
            <w:vAlign w:val="center"/>
          </w:tcPr>
          <w:p>
            <w:pPr>
              <w:jc w:val="center"/>
              <w:rPr>
                <w:rFonts w:hint="eastAsia"/>
                <w:bCs/>
                <w:sz w:val="21"/>
                <w:szCs w:val="21"/>
              </w:rPr>
            </w:pPr>
            <w:r>
              <w:rPr>
                <w:rFonts w:hint="eastAsia"/>
                <w:bCs/>
                <w:sz w:val="21"/>
                <w:szCs w:val="21"/>
              </w:rPr>
              <w:t>作业指导书</w:t>
            </w:r>
          </w:p>
          <w:p>
            <w:pPr>
              <w:jc w:val="center"/>
              <w:rPr>
                <w:rFonts w:hint="eastAsia" w:eastAsia="宋体"/>
                <w:bCs/>
                <w:sz w:val="21"/>
                <w:szCs w:val="21"/>
                <w:lang w:eastAsia="zh-CN"/>
              </w:rPr>
            </w:pPr>
            <w:r>
              <w:rPr>
                <w:rFonts w:hint="eastAsia"/>
                <w:bCs/>
                <w:sz w:val="21"/>
                <w:szCs w:val="21"/>
                <w:lang w:eastAsia="zh-CN"/>
              </w:rPr>
              <w:t>交底单位</w:t>
            </w:r>
          </w:p>
        </w:tc>
        <w:tc>
          <w:tcPr>
            <w:tcW w:w="3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lang w:eastAsia="zh-CN"/>
              </w:rPr>
            </w:pPr>
            <w:r>
              <w:rPr>
                <w:rFonts w:hint="eastAsia"/>
                <w:lang w:eastAsia="zh-CN"/>
              </w:rPr>
              <w:t>常州正衡电力工程监理有限公司</w:t>
            </w:r>
          </w:p>
          <w:p>
            <w:pPr>
              <w:pStyle w:val="21"/>
              <w:widowControl w:val="0"/>
              <w:wordWrap/>
              <w:adjustRightInd/>
              <w:snapToGrid/>
              <w:spacing w:line="240" w:lineRule="auto"/>
              <w:ind w:left="0" w:leftChars="0" w:right="0" w:firstLine="0" w:firstLineChars="0"/>
              <w:jc w:val="both"/>
              <w:textAlignment w:val="auto"/>
              <w:outlineLvl w:val="9"/>
              <w:rPr>
                <w:rFonts w:hint="eastAsia" w:eastAsia="宋体"/>
                <w:lang w:eastAsia="zh-CN"/>
              </w:rPr>
            </w:pPr>
            <w:r>
              <w:rPr>
                <w:rFonts w:hint="eastAsia" w:ascii="宋体" w:hAnsi="宋体" w:eastAsia="宋体" w:cs="宋体"/>
                <w:sz w:val="21"/>
                <w:szCs w:val="32"/>
                <w:lang w:val="en-US"/>
              </w:rPr>
              <w:t>申宜宜城流水镇100MW农光互补光伏电站项目</w:t>
            </w:r>
            <w:r>
              <w:rPr>
                <w:rFonts w:hint="eastAsia" w:cs="宋体"/>
                <w:sz w:val="21"/>
                <w:szCs w:val="32"/>
                <w:lang w:val="en-US" w:eastAsia="zh-CN"/>
              </w:rPr>
              <w:t>监理项目部</w:t>
            </w:r>
          </w:p>
        </w:tc>
        <w:tc>
          <w:tcPr>
            <w:tcW w:w="15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Cs/>
                <w:sz w:val="21"/>
                <w:szCs w:val="21"/>
              </w:rPr>
            </w:pPr>
            <w:r>
              <w:rPr>
                <w:rFonts w:hint="eastAsia"/>
                <w:bCs/>
                <w:sz w:val="21"/>
                <w:szCs w:val="21"/>
              </w:rPr>
              <w:t>交 底 人</w:t>
            </w:r>
          </w:p>
        </w:tc>
        <w:tc>
          <w:tcPr>
            <w:tcW w:w="2840" w:type="dxa"/>
            <w:tcBorders>
              <w:top w:val="single" w:color="000000" w:sz="4" w:space="0"/>
              <w:left w:val="single" w:color="000000" w:sz="4" w:space="0"/>
              <w:bottom w:val="single" w:color="000000" w:sz="4" w:space="0"/>
            </w:tcBorders>
            <w:vAlign w:val="center"/>
          </w:tcPr>
          <w:p>
            <w:pPr>
              <w:jc w:val="center"/>
              <w:rPr>
                <w:rFonts w:hint="eastAsia"/>
                <w:bCs/>
                <w:sz w:val="21"/>
                <w:szCs w:val="21"/>
                <w:lang w:eastAsia="zh-CN"/>
              </w:rPr>
            </w:pPr>
            <w:r>
              <w:rPr>
                <w:rFonts w:hint="eastAsia"/>
                <w:bCs/>
                <w:sz w:val="21"/>
                <w:szCs w:val="21"/>
                <w:lang w:eastAsia="zh-CN"/>
              </w:rPr>
              <w:t>严卫忠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802" w:type="dxa"/>
            <w:tcBorders>
              <w:top w:val="single" w:color="000000" w:sz="4" w:space="0"/>
              <w:bottom w:val="single" w:color="000000" w:sz="4" w:space="0"/>
              <w:right w:val="single" w:color="000000" w:sz="4" w:space="0"/>
            </w:tcBorders>
            <w:vAlign w:val="center"/>
          </w:tcPr>
          <w:p>
            <w:pPr>
              <w:jc w:val="center"/>
              <w:rPr>
                <w:rFonts w:hint="eastAsia" w:eastAsia="宋体"/>
                <w:bCs/>
                <w:sz w:val="21"/>
                <w:szCs w:val="21"/>
                <w:lang w:eastAsia="zh-CN"/>
              </w:rPr>
            </w:pPr>
            <w:r>
              <w:rPr>
                <w:rFonts w:hint="eastAsia"/>
                <w:bCs/>
                <w:sz w:val="21"/>
                <w:szCs w:val="21"/>
                <w:lang w:eastAsia="zh-CN"/>
              </w:rPr>
              <w:t>交底日期</w:t>
            </w:r>
          </w:p>
        </w:tc>
        <w:tc>
          <w:tcPr>
            <w:tcW w:w="7798" w:type="dxa"/>
            <w:gridSpan w:val="4"/>
            <w:tcBorders>
              <w:top w:val="single" w:color="000000" w:sz="4" w:space="0"/>
              <w:left w:val="single" w:color="000000" w:sz="4" w:space="0"/>
              <w:bottom w:val="single" w:color="000000" w:sz="4" w:space="0"/>
            </w:tcBorders>
            <w:vAlign w:val="top"/>
          </w:tcPr>
          <w:p>
            <w:pPr>
              <w:spacing w:line="480" w:lineRule="auto"/>
              <w:ind w:firstLine="210" w:firstLineChars="100"/>
              <w:jc w:val="both"/>
              <w:rPr>
                <w:rFonts w:hint="default" w:eastAsia="宋体"/>
                <w:bCs/>
                <w:sz w:val="21"/>
                <w:szCs w:val="21"/>
                <w:lang w:val="en-US" w:eastAsia="zh-CN"/>
              </w:rPr>
            </w:pP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6" w:hRule="atLeast"/>
        </w:trPr>
        <w:tc>
          <w:tcPr>
            <w:tcW w:w="9600" w:type="dxa"/>
            <w:gridSpan w:val="5"/>
            <w:tcBorders>
              <w:top w:val="single" w:color="000000" w:sz="4" w:space="0"/>
              <w:bottom w:val="single" w:color="000000" w:sz="4" w:space="0"/>
            </w:tcBorders>
            <w:vAlign w:val="top"/>
          </w:tcPr>
          <w:p>
            <w:pPr>
              <w:spacing w:line="360" w:lineRule="auto"/>
              <w:jc w:val="both"/>
              <w:rPr>
                <w:rFonts w:hint="eastAsia" w:eastAsia="宋体"/>
                <w:sz w:val="18"/>
                <w:lang w:eastAsia="zh-CN"/>
              </w:rPr>
            </w:pPr>
            <w:r>
              <w:rPr>
                <w:rFonts w:hint="eastAsia"/>
                <w:bCs/>
                <w:sz w:val="21"/>
                <w:szCs w:val="21"/>
              </w:rPr>
              <w:t>参加交底单位或人员</w:t>
            </w:r>
            <w:r>
              <w:rPr>
                <w:rFonts w:hint="eastAsia"/>
                <w:bCs/>
                <w:sz w:val="21"/>
                <w:szCs w:val="21"/>
                <w:lang w:eastAsia="zh-CN"/>
              </w:rPr>
              <w:t>：</w:t>
            </w:r>
          </w:p>
          <w:p>
            <w:pPr>
              <w:pStyle w:val="21"/>
              <w:spacing w:before="91"/>
              <w:ind w:left="369"/>
              <w:rPr>
                <w:sz w:val="18"/>
              </w:rPr>
            </w:pPr>
          </w:p>
          <w:p>
            <w:pPr>
              <w:pStyle w:val="21"/>
              <w:spacing w:before="91"/>
              <w:rPr>
                <w:rFonts w:hint="eastAsia"/>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600" w:type="dxa"/>
            <w:gridSpan w:val="5"/>
            <w:tcBorders>
              <w:top w:val="single" w:color="000000" w:sz="4" w:space="0"/>
              <w:bottom w:val="single" w:color="000000" w:sz="4" w:space="0"/>
            </w:tcBorders>
            <w:vAlign w:val="top"/>
          </w:tcPr>
          <w:p>
            <w:pPr>
              <w:pStyle w:val="21"/>
              <w:spacing w:before="91" w:line="480" w:lineRule="auto"/>
              <w:rPr>
                <w:rFonts w:hint="eastAsia"/>
                <w:sz w:val="18"/>
              </w:rPr>
            </w:pPr>
            <w:r>
              <w:rPr>
                <w:sz w:val="21"/>
                <w:szCs w:val="32"/>
              </w:rPr>
              <w:t>交底作业项目：</w:t>
            </w:r>
            <w:r>
              <w:rPr>
                <w:rFonts w:hint="eastAsia"/>
                <w:sz w:val="21"/>
                <w:szCs w:val="32"/>
                <w:lang w:val="en-US" w:eastAsia="zh-CN"/>
              </w:rPr>
              <w:t>带电作业安全交底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9600" w:type="dxa"/>
            <w:gridSpan w:val="5"/>
            <w:tcBorders>
              <w:top w:val="single" w:color="000000" w:sz="4" w:space="0"/>
              <w:bottom w:val="single" w:color="000000" w:sz="4" w:space="0"/>
            </w:tcBorders>
            <w:vAlign w:val="top"/>
          </w:tcPr>
          <w:p>
            <w:pPr>
              <w:pStyle w:val="21"/>
              <w:spacing w:before="93"/>
              <w:rPr>
                <w:rFonts w:hint="eastAsia" w:ascii="宋体" w:hAnsi="宋体" w:eastAsia="宋体" w:cs="宋体"/>
                <w:sz w:val="21"/>
                <w:szCs w:val="21"/>
              </w:rPr>
            </w:pPr>
            <w:r>
              <w:rPr>
                <w:rFonts w:hint="eastAsia" w:ascii="宋体" w:hAnsi="宋体" w:eastAsia="宋体" w:cs="宋体"/>
                <w:sz w:val="21"/>
                <w:szCs w:val="21"/>
              </w:rPr>
              <w:t>主要交底内容：</w:t>
            </w:r>
          </w:p>
          <w:p>
            <w:pPr>
              <w:pStyle w:val="10"/>
              <w:spacing w:line="360" w:lineRule="auto"/>
              <w:ind w:left="0" w:leftChars="0" w:firstLine="0" w:firstLineChars="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一、工程概况</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申宜宜城流水镇100MW农光互补光伏电站项目位于湖北省襄阳市宜城市流水镇刘台村，是由宜城市申宜新能源有限公司投资新建的大型地面光伏发电站。</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本项目装机容量为100MW，项目征地约2563亩，采用地面支架安装倾角15度的方式安装28个发电单元，A区14个方阵采用标称545Wp晶硅组件92052块，B区14个方阵采用标称540Wp晶硅组件92448块，共计184500块组件，每36块组件串联一组，共计5125组；每个方阵配置1台3125kW箱逆变一体化设备；建成后通过35kV电缆线路汇入110kV升压站，通过110kV送出线路接入邓林110kV变电站。</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光伏区土建工程主要包括桩基础、箱逆变一体化设备基础、厂区道路、厂区围栏等；电气工程主要包括支架与组件安装、汇流箱安装、箱逆变一体化设备安装、电缆施工、电气试验等。</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本项目新建一座110kV升压站，土建工程主要包括电气楼、综合楼、附属用房、主变压器基础、事故油池、构架基础、高压设备基础、电缆沟、危废品库、围墙等；电气工程主要包括主变压器安装、GIS设备安装、开关柜安装、SVG设备安装、二次柜安装、站用变安装、高压设备安装等。</w:t>
            </w:r>
          </w:p>
          <w:p>
            <w:pPr>
              <w:pStyle w:val="10"/>
              <w:spacing w:line="360" w:lineRule="auto"/>
              <w:ind w:left="0" w:leftChars="0" w:firstLine="0" w:firstLineChars="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二、施工前注意事项 </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1、带电作业前必须申请运维单位开票，不得无票私自进行施工</w:t>
            </w:r>
            <w:r>
              <w:rPr>
                <w:rFonts w:hint="eastAsia" w:ascii="宋体" w:hAnsi="宋体" w:eastAsia="宋体" w:cs="宋体"/>
                <w:b w:val="0"/>
                <w:kern w:val="2"/>
                <w:sz w:val="21"/>
                <w:szCs w:val="21"/>
                <w:lang w:val="en-US" w:eastAsia="zh-CN" w:bidi="ar-SA"/>
              </w:rPr>
              <w:t>。</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2、特种作业人员必须持证上岗！（电工、登高、起重、焊工、机动车驾驶、吊车操作等），上岗证必须定期年审。</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3、操作前必须进行安全检查，排查安全隐患，且必须安排专人进行监护。</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4、</w:t>
            </w:r>
            <w:r>
              <w:rPr>
                <w:rFonts w:hint="eastAsia" w:ascii="宋体" w:hAnsi="宋体" w:eastAsia="宋体" w:cs="宋体"/>
                <w:b w:val="0"/>
                <w:kern w:val="2"/>
                <w:sz w:val="21"/>
                <w:szCs w:val="21"/>
                <w:lang w:val="en-US" w:eastAsia="zh-CN" w:bidi="ar-SA"/>
              </w:rPr>
              <w:t xml:space="preserve"> </w:t>
            </w:r>
            <w:r>
              <w:rPr>
                <w:rFonts w:hint="eastAsia" w:cs="宋体"/>
                <w:b w:val="0"/>
                <w:kern w:val="2"/>
                <w:sz w:val="21"/>
                <w:szCs w:val="21"/>
                <w:lang w:val="en-US" w:eastAsia="zh-CN" w:bidi="ar-SA"/>
              </w:rPr>
              <w:t>施工作业点应设安全警示标识</w:t>
            </w:r>
            <w:r>
              <w:rPr>
                <w:rFonts w:hint="eastAsia" w:ascii="宋体" w:hAnsi="宋体" w:eastAsia="宋体" w:cs="宋体"/>
                <w:b w:val="0"/>
                <w:kern w:val="2"/>
                <w:sz w:val="21"/>
                <w:szCs w:val="21"/>
                <w:lang w:val="en-US" w:eastAsia="zh-CN" w:bidi="ar-SA"/>
              </w:rPr>
              <w:t>。</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5、所用机械应定期进行检查和保养，严禁机械带病作业。</w:t>
            </w:r>
          </w:p>
          <w:p>
            <w:pPr>
              <w:pStyle w:val="7"/>
              <w:widowControl w:val="0"/>
              <w:wordWrap/>
              <w:adjustRightInd/>
              <w:snapToGrid/>
              <w:spacing w:line="360" w:lineRule="auto"/>
              <w:ind w:left="0" w:leftChars="0" w:right="0" w:firstLine="420" w:firstLineChars="200"/>
              <w:jc w:val="both"/>
              <w:textAlignment w:val="auto"/>
              <w:outlineLvl w:val="9"/>
              <w:rPr>
                <w:rFonts w:hint="default" w:cs="宋体"/>
                <w:b w:val="0"/>
                <w:kern w:val="2"/>
                <w:sz w:val="21"/>
                <w:szCs w:val="21"/>
                <w:lang w:val="en-US" w:eastAsia="zh-CN" w:bidi="ar-SA"/>
              </w:rPr>
            </w:pPr>
            <w:r>
              <w:rPr>
                <w:rFonts w:hint="eastAsia" w:cs="宋体"/>
                <w:b w:val="0"/>
                <w:kern w:val="2"/>
                <w:sz w:val="21"/>
                <w:szCs w:val="21"/>
                <w:lang w:val="en-US" w:eastAsia="zh-CN" w:bidi="ar-SA"/>
              </w:rPr>
              <w:t>6、在已敷设电力区域开挖作业必须进行安全排查，确保开挖路径安全。</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 xml:space="preserve">7、进行接地体焊接作业时，操作人员应穿工作服，绝缘鞋，戴防护手套等符合专业要求的劳保用品。 </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 xml:space="preserve">8、进行焊接作业时，必须经常检查工作范围的安全状况，有危及安全情况时，必须采取防护措施。 </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9、电焊机应有单独的电源控制装置，外壳必须接地良好，在潮湿的沟（井）内施焊时，应垫以木板或采取其它防止触电的措施，并设监护人。</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10、在开挖直埋电缆沟时，要查清地下管线等的布置情况，防止管线、电缆损伤。</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11、在制作电缆头时，要把施工点周围的杂物清理干净以免发生火灾事故。</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12、施工人员必须与带电线路保持足够的安全距离并设专人监护！</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13、作业人员应穿工作服，戴工作帽，上衣不准扎在裤子里，口袋需有遮盖，脚面应有鞋罩并戴绝缘手套。</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14、不准在带有液体压力、气体压力或带电设备上进行焊接、切割。</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 xml:space="preserve">15、室外焊接时,与易燃易爆的水平距离不的小于5米,并采取可靠的安全措施,备有必要的消防器材。  </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16、禁止将带电的绝缘导线搭在身上或踏在脚下,防止重物、车辆砸、压以防漏电造成触电事故。</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17、严格按照施工规定流程操作。</w:t>
            </w:r>
          </w:p>
          <w:p>
            <w:pPr>
              <w:pStyle w:val="10"/>
              <w:spacing w:line="360" w:lineRule="auto"/>
              <w:ind w:left="0" w:leftChars="0" w:firstLine="0" w:firstLineChars="0"/>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三、不停电作业流程</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1、现场施工负责人向进入本施工范围的所有工作人员明确交待本次施工设备状态、作业内容、作业</w:t>
            </w:r>
          </w:p>
          <w:p>
            <w:pPr>
              <w:pStyle w:val="7"/>
              <w:widowControl w:val="0"/>
              <w:wordWrap/>
              <w:adjustRightInd/>
              <w:snapToGrid/>
              <w:spacing w:line="360" w:lineRule="auto"/>
              <w:ind w:right="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范围、进度要求、 特殊项目施工要求、作业标准、安全注意事项、危险点及控制措施、危害环境的相应预防控制措施、人员分工，并签署（班组级）安全技术交底表。</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2、工作负责人负责办理相关的工作许可手续。</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3、现场施工负责人组织检查确认进入本施工范围的所有工作人员正确使用劳保用品和着装，并带领</w:t>
            </w:r>
          </w:p>
          <w:p>
            <w:pPr>
              <w:pStyle w:val="7"/>
              <w:widowControl w:val="0"/>
              <w:wordWrap/>
              <w:adjustRightInd/>
              <w:snapToGrid/>
              <w:spacing w:line="360" w:lineRule="auto"/>
              <w:ind w:left="0" w:leftChars="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施工作业人员进入作业现场。安排人员清点工器具、材料并放置到位。</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4、由安全员在施工地点周围设置安全围栏，设立警示牌、标示牌。</w:t>
            </w:r>
          </w:p>
          <w:p>
            <w:pPr>
              <w:pStyle w:val="7"/>
              <w:widowControl w:val="0"/>
              <w:wordWrap/>
              <w:adjustRightInd/>
              <w:snapToGrid/>
              <w:spacing w:line="360" w:lineRule="auto"/>
              <w:ind w:left="420" w:leftChars="200" w:right="0" w:firstLine="0" w:firstLineChars="0"/>
              <w:jc w:val="both"/>
              <w:textAlignment w:val="auto"/>
              <w:outlineLvl w:val="9"/>
              <w:rPr>
                <w:rFonts w:hint="default" w:cs="宋体"/>
                <w:b w:val="0"/>
                <w:kern w:val="2"/>
                <w:sz w:val="21"/>
                <w:szCs w:val="21"/>
                <w:lang w:val="en-US" w:eastAsia="zh-CN" w:bidi="ar-SA"/>
              </w:rPr>
            </w:pPr>
            <w:r>
              <w:rPr>
                <w:rFonts w:hint="eastAsia" w:cs="宋体"/>
                <w:b w:val="0"/>
                <w:kern w:val="2"/>
                <w:sz w:val="21"/>
                <w:szCs w:val="21"/>
                <w:lang w:val="en-US" w:eastAsia="zh-CN" w:bidi="ar-SA"/>
              </w:rPr>
              <w:t>5、监护人员时刻注意操作人员工作是否正确，若有隐患及时提醒作业人员停止作业。</w:t>
            </w:r>
          </w:p>
          <w:p>
            <w:pPr>
              <w:pStyle w:val="10"/>
              <w:spacing w:line="360" w:lineRule="auto"/>
              <w:ind w:left="0" w:leftChars="0" w:firstLine="0" w:firstLineChars="0"/>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四、不停电作业控制措施</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（1）、施工内容</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开挖箱变基础、电缆沟、电缆通道，敷设电缆保护管；敷设电缆及制作电缆终端头、开挖接地环网沟及接地网制作；</w:t>
            </w:r>
          </w:p>
          <w:p>
            <w:pPr>
              <w:pStyle w:val="7"/>
              <w:widowControl w:val="0"/>
              <w:wordWrap/>
              <w:adjustRightInd/>
              <w:snapToGrid/>
              <w:spacing w:line="360" w:lineRule="auto"/>
              <w:ind w:left="0" w:leftChars="0" w:right="0" w:firstLine="420" w:firstLineChars="200"/>
              <w:jc w:val="both"/>
              <w:textAlignment w:val="auto"/>
              <w:outlineLvl w:val="9"/>
              <w:rPr>
                <w:rFonts w:hint="default" w:cs="宋体"/>
                <w:b w:val="0"/>
                <w:kern w:val="2"/>
                <w:sz w:val="21"/>
                <w:szCs w:val="21"/>
                <w:lang w:val="en-US" w:eastAsia="zh-CN" w:bidi="ar-SA"/>
              </w:rPr>
            </w:pPr>
            <w:r>
              <w:rPr>
                <w:rFonts w:hint="eastAsia" w:cs="宋体"/>
                <w:b w:val="0"/>
                <w:kern w:val="2"/>
                <w:sz w:val="21"/>
                <w:szCs w:val="21"/>
                <w:lang w:val="en-US" w:eastAsia="zh-CN" w:bidi="ar-SA"/>
              </w:rPr>
              <w:t>（2）不停电作业控制措施</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1、在施工区域内挖掘接地沟、电缆沟（井）作业，应设置安全围栏，并挂警示牌，围栏离坑边不得小于0.8m。</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2、挖土时应按技术要求放坡。夜间施工应设围栏警示灯。</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3、进行接地体焊接、切割作业时，操作人员应穿工作服，绝缘鞋，戴防护手套等符合专业要求的劳</w:t>
            </w:r>
          </w:p>
          <w:p>
            <w:pPr>
              <w:pStyle w:val="7"/>
              <w:widowControl w:val="0"/>
              <w:wordWrap/>
              <w:adjustRightInd/>
              <w:snapToGrid/>
              <w:spacing w:line="360" w:lineRule="auto"/>
              <w:ind w:left="0" w:leftChars="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保用品。</w:t>
            </w:r>
          </w:p>
          <w:p>
            <w:pPr>
              <w:pStyle w:val="7"/>
              <w:widowControl w:val="0"/>
              <w:wordWrap/>
              <w:adjustRightInd/>
              <w:snapToGrid/>
              <w:spacing w:line="360" w:lineRule="auto"/>
              <w:ind w:right="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4、进行焊接作业时，必须经常检查工作范围的安全状况，有危及安全情况时，必须采取防护措施。</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5、不宜在雨、湿天气进行沟（井）内的焊接、切割作业。</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6、水过深的基础应及时排水，设置安全围栏，挂牌警告提示，并应防止因抽水而引起的塌方。</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7、挖出的土石方应及时运走，深基础及孔口四周2m范围内不准堆放淤泥杂物，机动车辆通行时，应</w:t>
            </w:r>
          </w:p>
          <w:p>
            <w:pPr>
              <w:pStyle w:val="7"/>
              <w:widowControl w:val="0"/>
              <w:wordWrap/>
              <w:adjustRightInd/>
              <w:snapToGrid/>
              <w:spacing w:line="360" w:lineRule="auto"/>
              <w:ind w:left="0" w:leftChars="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作出预防措施和暂停孔内作业。</w:t>
            </w:r>
          </w:p>
          <w:p>
            <w:pPr>
              <w:pStyle w:val="7"/>
              <w:widowControl w:val="0"/>
              <w:numPr>
                <w:ilvl w:val="0"/>
                <w:numId w:val="1"/>
              </w:numPr>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电焊机应有单独的电源控制装置，外壳必须接地良好，在潮湿的沟（井）内施焊时，应垫以木板</w:t>
            </w:r>
          </w:p>
          <w:p>
            <w:pPr>
              <w:pStyle w:val="7"/>
              <w:widowControl w:val="0"/>
              <w:numPr>
                <w:ilvl w:val="0"/>
                <w:numId w:val="0"/>
              </w:numPr>
              <w:wordWrap/>
              <w:adjustRightInd/>
              <w:snapToGrid/>
              <w:spacing w:line="360" w:lineRule="auto"/>
              <w:ind w:right="0" w:right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或采取其它防止触电的措施，并设监护人。</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9、进行火焊切割作业时，应有防止触电，气瓶爆炸和防止金属火花飞溅伤人，引起火灾的措施。</w:t>
            </w:r>
          </w:p>
          <w:p>
            <w:pPr>
              <w:pStyle w:val="7"/>
              <w:widowControl w:val="0"/>
              <w:wordWrap/>
              <w:adjustRightInd/>
              <w:snapToGrid/>
              <w:spacing w:line="360" w:lineRule="auto"/>
              <w:ind w:left="420" w:leftChars="200" w:right="0" w:firstLine="0" w:firstLineChars="0"/>
              <w:jc w:val="both"/>
              <w:textAlignment w:val="auto"/>
              <w:outlineLvl w:val="9"/>
              <w:rPr>
                <w:rFonts w:hint="default" w:cs="宋体"/>
                <w:b w:val="0"/>
                <w:kern w:val="2"/>
                <w:sz w:val="21"/>
                <w:szCs w:val="21"/>
                <w:lang w:val="en-US" w:eastAsia="zh-CN" w:bidi="ar-SA"/>
              </w:rPr>
            </w:pPr>
            <w:r>
              <w:rPr>
                <w:rFonts w:hint="eastAsia" w:cs="宋体"/>
                <w:b w:val="0"/>
                <w:kern w:val="2"/>
                <w:sz w:val="21"/>
                <w:szCs w:val="21"/>
                <w:lang w:val="en-US" w:eastAsia="zh-CN" w:bidi="ar-SA"/>
              </w:rPr>
              <w:t>10、电缆沟开挖应设专人进行监护，应按技术要求放边坡。</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11、电缆管敷设完毕后应及时回填土，防止人员和牲畜掉落坑内。</w:t>
            </w:r>
          </w:p>
          <w:p>
            <w:pPr>
              <w:pStyle w:val="7"/>
              <w:widowControl w:val="0"/>
              <w:wordWrap/>
              <w:adjustRightInd/>
              <w:snapToGrid/>
              <w:spacing w:line="360" w:lineRule="auto"/>
              <w:ind w:left="420" w:leftChars="200" w:right="0" w:firstLine="0" w:firstLineChars="0"/>
              <w:jc w:val="both"/>
              <w:textAlignment w:val="auto"/>
              <w:outlineLvl w:val="9"/>
              <w:rPr>
                <w:rFonts w:hint="default" w:cs="宋体"/>
                <w:b w:val="0"/>
                <w:kern w:val="2"/>
                <w:sz w:val="21"/>
                <w:szCs w:val="21"/>
                <w:lang w:val="en-US" w:eastAsia="zh-CN" w:bidi="ar-SA"/>
              </w:rPr>
            </w:pPr>
            <w:r>
              <w:rPr>
                <w:rFonts w:hint="eastAsia" w:cs="宋体"/>
                <w:b w:val="0"/>
                <w:kern w:val="2"/>
                <w:sz w:val="21"/>
                <w:szCs w:val="21"/>
                <w:lang w:val="en-US" w:eastAsia="zh-CN" w:bidi="ar-SA"/>
              </w:rPr>
              <w:t>12、电缆沟按设计要求深度1米以上，电缆敷设需铺沙（软土）盖砖。</w:t>
            </w:r>
          </w:p>
          <w:p>
            <w:pPr>
              <w:pStyle w:val="7"/>
              <w:widowControl w:val="0"/>
              <w:wordWrap/>
              <w:adjustRightInd/>
              <w:snapToGrid/>
              <w:spacing w:line="360" w:lineRule="auto"/>
              <w:ind w:left="420" w:leftChars="200" w:right="0" w:firstLine="0" w:firstLineChars="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13、电缆敷设完成回填后应及时按设计要求安装电缆走向标识桩，必须要按电缆走向位置埋设。</w:t>
            </w:r>
          </w:p>
          <w:p>
            <w:pPr>
              <w:pStyle w:val="10"/>
              <w:spacing w:line="360" w:lineRule="auto"/>
              <w:ind w:left="0" w:firstLine="487" w:firstLineChars="23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五、安全保证措施</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（1）开工前要做好各级安全交底工作。根据施工工艺制定安全措施，落实安全责任、组织职工贯彻落实，并定期开展安全活动。</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（2）机械作业的回转半径内，严禁有操作工人作业。夜间挖土施工时，应配置足够的灯光照明。</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（3）施工区域和危险区域设醒目的安全警示标志。</w:t>
            </w:r>
          </w:p>
          <w:p>
            <w:pPr>
              <w:pStyle w:val="7"/>
              <w:widowControl w:val="0"/>
              <w:wordWrap/>
              <w:adjustRightInd/>
              <w:snapToGrid/>
              <w:spacing w:line="360" w:lineRule="auto"/>
              <w:ind w:left="0" w:leftChars="0" w:right="0" w:firstLine="420" w:firstLineChars="200"/>
              <w:jc w:val="both"/>
              <w:textAlignment w:val="auto"/>
              <w:outlineLvl w:val="9"/>
              <w:rPr>
                <w:rFonts w:hint="eastAsia" w:cs="宋体"/>
                <w:b w:val="0"/>
                <w:kern w:val="2"/>
                <w:sz w:val="21"/>
                <w:szCs w:val="21"/>
                <w:lang w:val="en-US" w:eastAsia="zh-CN" w:bidi="ar-SA"/>
              </w:rPr>
            </w:pPr>
            <w:r>
              <w:rPr>
                <w:rFonts w:hint="eastAsia" w:cs="宋体"/>
                <w:b w:val="0"/>
                <w:kern w:val="2"/>
                <w:sz w:val="21"/>
                <w:szCs w:val="21"/>
                <w:lang w:val="en-US" w:eastAsia="zh-CN" w:bidi="ar-SA"/>
              </w:rPr>
              <w:t>（4）施工机械上班前进行安全检查，是否出现故障等问题。</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（5）</w:t>
            </w:r>
            <w:r>
              <w:rPr>
                <w:rFonts w:hint="eastAsia" w:ascii="宋体" w:hAnsi="宋体" w:eastAsia="宋体" w:cs="宋体"/>
                <w:b w:val="0"/>
                <w:kern w:val="2"/>
                <w:sz w:val="21"/>
                <w:szCs w:val="21"/>
                <w:lang w:val="en-US" w:eastAsia="zh-CN" w:bidi="ar-SA"/>
              </w:rPr>
              <w:t>敷设电缆前，</w:t>
            </w:r>
            <w:r>
              <w:rPr>
                <w:rFonts w:hint="eastAsia" w:cs="宋体"/>
                <w:b w:val="0"/>
                <w:kern w:val="2"/>
                <w:sz w:val="21"/>
                <w:szCs w:val="21"/>
                <w:lang w:val="en-US" w:eastAsia="zh-CN" w:bidi="ar-SA"/>
              </w:rPr>
              <w:t>应把电缆两端做好防潮、防雨措施，</w:t>
            </w:r>
            <w:r>
              <w:rPr>
                <w:rFonts w:hint="eastAsia" w:ascii="宋体" w:hAnsi="宋体" w:eastAsia="宋体" w:cs="宋体"/>
                <w:b w:val="0"/>
                <w:kern w:val="2"/>
                <w:sz w:val="21"/>
                <w:szCs w:val="21"/>
                <w:lang w:val="en-US" w:eastAsia="zh-CN" w:bidi="ar-SA"/>
              </w:rPr>
              <w:t>将沟道内清理干净，做到无杂物、积水,并有足够的安全照明，安全电压为12V。</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（6）</w:t>
            </w:r>
            <w:r>
              <w:rPr>
                <w:rFonts w:hint="eastAsia" w:ascii="宋体" w:hAnsi="宋体" w:eastAsia="宋体" w:cs="宋体"/>
                <w:b w:val="0"/>
                <w:kern w:val="2"/>
                <w:sz w:val="21"/>
                <w:szCs w:val="21"/>
                <w:lang w:val="en-US" w:eastAsia="zh-CN" w:bidi="ar-SA"/>
              </w:rPr>
              <w:t>进入带电区域敷设电缆时，应取得运行单位同意，认真办理工作票，采取安全措施，并设监护人，将有经验的人员安排在带电区域工作，无关人员严禁触及带电设备。</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（7）</w:t>
            </w:r>
            <w:r>
              <w:rPr>
                <w:rFonts w:hint="eastAsia" w:ascii="宋体" w:hAnsi="宋体" w:eastAsia="宋体" w:cs="宋体"/>
                <w:b w:val="0"/>
                <w:kern w:val="2"/>
                <w:sz w:val="21"/>
                <w:szCs w:val="21"/>
                <w:lang w:val="en-US" w:eastAsia="zh-CN" w:bidi="ar-SA"/>
              </w:rPr>
              <w:t>电缆通过孔洞、管子或楼板时，两侧必须设监护人，入口侧应防止电缆挤伤或手被带入孔内，出口侧的人员不得站在正面接引，拐弯处施工人员应站在电缆外侧敷设电缆。</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（8）</w:t>
            </w:r>
            <w:r>
              <w:rPr>
                <w:rFonts w:hint="eastAsia" w:ascii="宋体" w:hAnsi="宋体" w:eastAsia="宋体" w:cs="宋体"/>
                <w:b w:val="0"/>
                <w:kern w:val="2"/>
                <w:sz w:val="21"/>
                <w:szCs w:val="21"/>
                <w:lang w:val="en-US" w:eastAsia="zh-CN" w:bidi="ar-SA"/>
              </w:rPr>
              <w:t>施工人员不得在电缆上攀吊或行走。</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（9）</w:t>
            </w:r>
            <w:r>
              <w:rPr>
                <w:rFonts w:hint="eastAsia" w:ascii="宋体" w:hAnsi="宋体" w:eastAsia="宋体" w:cs="宋体"/>
                <w:b w:val="0"/>
                <w:kern w:val="2"/>
                <w:sz w:val="21"/>
                <w:szCs w:val="21"/>
                <w:lang w:val="en-US" w:eastAsia="zh-CN" w:bidi="ar-SA"/>
              </w:rPr>
              <w:t>电缆穿入带电的盘</w:t>
            </w:r>
            <w:r>
              <w:rPr>
                <w:rFonts w:hint="eastAsia" w:cs="宋体"/>
                <w:b w:val="0"/>
                <w:kern w:val="2"/>
                <w:sz w:val="21"/>
                <w:szCs w:val="21"/>
                <w:lang w:val="en-US" w:eastAsia="zh-CN" w:bidi="ar-SA"/>
              </w:rPr>
              <w:t>柜</w:t>
            </w:r>
            <w:r>
              <w:rPr>
                <w:rFonts w:hint="eastAsia" w:ascii="宋体" w:hAnsi="宋体" w:eastAsia="宋体" w:cs="宋体"/>
                <w:b w:val="0"/>
                <w:kern w:val="2"/>
                <w:sz w:val="21"/>
                <w:szCs w:val="21"/>
                <w:lang w:val="en-US" w:eastAsia="zh-CN" w:bidi="ar-SA"/>
              </w:rPr>
              <w:t>内时，盘</w:t>
            </w:r>
            <w:r>
              <w:rPr>
                <w:rFonts w:hint="eastAsia" w:cs="宋体"/>
                <w:b w:val="0"/>
                <w:kern w:val="2"/>
                <w:sz w:val="21"/>
                <w:szCs w:val="21"/>
                <w:lang w:val="en-US" w:eastAsia="zh-CN" w:bidi="ar-SA"/>
              </w:rPr>
              <w:t>柜</w:t>
            </w:r>
            <w:r>
              <w:rPr>
                <w:rFonts w:hint="eastAsia" w:ascii="宋体" w:hAnsi="宋体" w:eastAsia="宋体" w:cs="宋体"/>
                <w:b w:val="0"/>
                <w:kern w:val="2"/>
                <w:sz w:val="21"/>
                <w:szCs w:val="21"/>
                <w:lang w:val="en-US" w:eastAsia="zh-CN" w:bidi="ar-SA"/>
              </w:rPr>
              <w:t>上</w:t>
            </w:r>
            <w:r>
              <w:rPr>
                <w:rFonts w:hint="eastAsia" w:cs="宋体"/>
                <w:b w:val="0"/>
                <w:kern w:val="2"/>
                <w:sz w:val="21"/>
                <w:szCs w:val="21"/>
                <w:lang w:val="en-US" w:eastAsia="zh-CN" w:bidi="ar-SA"/>
              </w:rPr>
              <w:t>部</w:t>
            </w:r>
            <w:r>
              <w:rPr>
                <w:rFonts w:hint="eastAsia" w:ascii="宋体" w:hAnsi="宋体" w:eastAsia="宋体" w:cs="宋体"/>
                <w:b w:val="0"/>
                <w:kern w:val="2"/>
                <w:sz w:val="21"/>
                <w:szCs w:val="21"/>
                <w:lang w:val="en-US" w:eastAsia="zh-CN" w:bidi="ar-SA"/>
              </w:rPr>
              <w:t>必须专人接引，严防电缆触及带电部位。</w:t>
            </w:r>
          </w:p>
          <w:p>
            <w:pPr>
              <w:pStyle w:val="7"/>
              <w:widowControl w:val="0"/>
              <w:wordWrap/>
              <w:adjustRightInd/>
              <w:snapToGrid/>
              <w:spacing w:line="360" w:lineRule="auto"/>
              <w:ind w:left="0" w:leftChars="0" w:right="0" w:firstLine="420" w:firstLineChars="200"/>
              <w:jc w:val="both"/>
              <w:textAlignment w:val="auto"/>
              <w:outlineLvl w:val="9"/>
              <w:rPr>
                <w:rFonts w:hint="eastAsia" w:ascii="宋体" w:hAnsi="宋体" w:eastAsia="宋体" w:cs="宋体"/>
                <w:b w:val="0"/>
                <w:kern w:val="2"/>
                <w:sz w:val="21"/>
                <w:szCs w:val="21"/>
                <w:lang w:val="en-US" w:eastAsia="zh-CN" w:bidi="ar-SA"/>
              </w:rPr>
            </w:pPr>
            <w:r>
              <w:rPr>
                <w:rFonts w:hint="eastAsia" w:cs="宋体"/>
                <w:b w:val="0"/>
                <w:kern w:val="2"/>
                <w:sz w:val="21"/>
                <w:szCs w:val="21"/>
                <w:lang w:val="en-US" w:eastAsia="zh-CN" w:bidi="ar-SA"/>
              </w:rPr>
              <w:t>（10）在电缆敷设区域进行开挖作业时必须先行排查地下管线的布设情况，确保开挖路径安全。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 w:hRule="atLeast"/>
        </w:trPr>
        <w:tc>
          <w:tcPr>
            <w:tcW w:w="2448" w:type="dxa"/>
            <w:gridSpan w:val="2"/>
            <w:tcBorders>
              <w:top w:val="single" w:color="000000" w:sz="4" w:space="0"/>
              <w:right w:val="single" w:color="000000" w:sz="4" w:space="0"/>
            </w:tcBorders>
            <w:vAlign w:val="top"/>
          </w:tcPr>
          <w:p>
            <w:pPr>
              <w:pStyle w:val="21"/>
              <w:spacing w:before="95"/>
              <w:ind w:left="281" w:right="227"/>
              <w:jc w:val="center"/>
              <w:rPr>
                <w:rFonts w:hint="eastAsia" w:ascii="宋体" w:hAnsi="宋体" w:eastAsia="宋体" w:cs="宋体"/>
                <w:sz w:val="21"/>
                <w:szCs w:val="21"/>
              </w:rPr>
            </w:pPr>
            <w:r>
              <w:rPr>
                <w:rFonts w:hint="eastAsia" w:ascii="宋体" w:hAnsi="宋体" w:eastAsia="宋体" w:cs="宋体"/>
                <w:sz w:val="21"/>
                <w:szCs w:val="21"/>
              </w:rPr>
              <w:t>交底人签名</w:t>
            </w:r>
          </w:p>
        </w:tc>
        <w:tc>
          <w:tcPr>
            <w:tcW w:w="7152" w:type="dxa"/>
            <w:gridSpan w:val="3"/>
            <w:tcBorders>
              <w:top w:val="single" w:color="000000" w:sz="4" w:space="0"/>
              <w:left w:val="single" w:color="000000" w:sz="4" w:space="0"/>
            </w:tcBorders>
            <w:vAlign w:val="top"/>
          </w:tcPr>
          <w:p>
            <w:pPr>
              <w:pStyle w:val="21"/>
              <w:rPr>
                <w:rFonts w:hint="eastAsia" w:ascii="宋体" w:hAnsi="宋体" w:eastAsia="宋体" w:cs="宋体"/>
                <w:sz w:val="21"/>
                <w:szCs w:val="21"/>
              </w:rPr>
            </w:pPr>
          </w:p>
        </w:tc>
      </w:tr>
    </w:tbl>
    <w:p>
      <w:pPr>
        <w:rPr>
          <w:rFonts w:hint="eastAsia" w:ascii="宋体" w:hAnsi="宋体" w:eastAsia="宋体" w:cs="宋体"/>
          <w:sz w:val="21"/>
          <w:szCs w:val="21"/>
        </w:rPr>
      </w:pPr>
    </w:p>
    <w:sectPr>
      <w:pgSz w:w="11906" w:h="16838"/>
      <w:pgMar w:top="1134" w:right="850" w:bottom="1134" w:left="850" w:header="851" w:footer="992" w:gutter="56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BE9DE"/>
    <w:multiLevelType w:val="singleLevel"/>
    <w:tmpl w:val="0B7BE9DE"/>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zdkNWJmYjczNzc0YjkwMzE2YmFmYTAyNTJlMDgifQ=="/>
  </w:docVars>
  <w:rsids>
    <w:rsidRoot w:val="006C6448"/>
    <w:rsid w:val="000C467F"/>
    <w:rsid w:val="002D5C2C"/>
    <w:rsid w:val="002E1284"/>
    <w:rsid w:val="00394AFB"/>
    <w:rsid w:val="003C773E"/>
    <w:rsid w:val="00423D77"/>
    <w:rsid w:val="00530F2B"/>
    <w:rsid w:val="00540A48"/>
    <w:rsid w:val="00641030"/>
    <w:rsid w:val="006C6448"/>
    <w:rsid w:val="006E0190"/>
    <w:rsid w:val="0070004F"/>
    <w:rsid w:val="007436E3"/>
    <w:rsid w:val="007B2461"/>
    <w:rsid w:val="008517DA"/>
    <w:rsid w:val="008F1FD3"/>
    <w:rsid w:val="00AE3685"/>
    <w:rsid w:val="00C32457"/>
    <w:rsid w:val="00C367CC"/>
    <w:rsid w:val="00DC1FC0"/>
    <w:rsid w:val="00DC5C10"/>
    <w:rsid w:val="00E30F0B"/>
    <w:rsid w:val="00E72482"/>
    <w:rsid w:val="00F37161"/>
    <w:rsid w:val="0297684F"/>
    <w:rsid w:val="054148DA"/>
    <w:rsid w:val="057115D2"/>
    <w:rsid w:val="073D7F1A"/>
    <w:rsid w:val="07716082"/>
    <w:rsid w:val="08740639"/>
    <w:rsid w:val="0A0D3037"/>
    <w:rsid w:val="0C4C2763"/>
    <w:rsid w:val="0C94355A"/>
    <w:rsid w:val="0E5D3365"/>
    <w:rsid w:val="0EBD007F"/>
    <w:rsid w:val="0FA06866"/>
    <w:rsid w:val="11992B0E"/>
    <w:rsid w:val="11A15CE9"/>
    <w:rsid w:val="142B7A42"/>
    <w:rsid w:val="14446CAA"/>
    <w:rsid w:val="15A06BA9"/>
    <w:rsid w:val="16635FD5"/>
    <w:rsid w:val="185A1B7C"/>
    <w:rsid w:val="18B820A6"/>
    <w:rsid w:val="1A7A274D"/>
    <w:rsid w:val="1B6965E2"/>
    <w:rsid w:val="1C407CE8"/>
    <w:rsid w:val="1CED7481"/>
    <w:rsid w:val="1D2E5520"/>
    <w:rsid w:val="1D393D43"/>
    <w:rsid w:val="1E413D30"/>
    <w:rsid w:val="225673D8"/>
    <w:rsid w:val="260470EF"/>
    <w:rsid w:val="260E3149"/>
    <w:rsid w:val="26F7576A"/>
    <w:rsid w:val="27975818"/>
    <w:rsid w:val="2A534569"/>
    <w:rsid w:val="2D057B3F"/>
    <w:rsid w:val="2D341BFE"/>
    <w:rsid w:val="2DD10E85"/>
    <w:rsid w:val="2E3A7146"/>
    <w:rsid w:val="33C92F4F"/>
    <w:rsid w:val="37BC3737"/>
    <w:rsid w:val="397A4C19"/>
    <w:rsid w:val="3E71455F"/>
    <w:rsid w:val="3F3F491D"/>
    <w:rsid w:val="42E04171"/>
    <w:rsid w:val="42E71626"/>
    <w:rsid w:val="43791F0A"/>
    <w:rsid w:val="4387681C"/>
    <w:rsid w:val="448B6ACA"/>
    <w:rsid w:val="45340F17"/>
    <w:rsid w:val="47331368"/>
    <w:rsid w:val="4A773E91"/>
    <w:rsid w:val="4BF30183"/>
    <w:rsid w:val="4DFE2A04"/>
    <w:rsid w:val="4E2C224E"/>
    <w:rsid w:val="4E430FCD"/>
    <w:rsid w:val="4F851326"/>
    <w:rsid w:val="57A10DE7"/>
    <w:rsid w:val="57C83098"/>
    <w:rsid w:val="598220E6"/>
    <w:rsid w:val="59D66824"/>
    <w:rsid w:val="5A64213D"/>
    <w:rsid w:val="5B981960"/>
    <w:rsid w:val="5CF423D4"/>
    <w:rsid w:val="5ED878DC"/>
    <w:rsid w:val="620E22E4"/>
    <w:rsid w:val="63F4371E"/>
    <w:rsid w:val="644D2F11"/>
    <w:rsid w:val="64F033AF"/>
    <w:rsid w:val="6D405F26"/>
    <w:rsid w:val="706B7283"/>
    <w:rsid w:val="71CC6891"/>
    <w:rsid w:val="72205F8B"/>
    <w:rsid w:val="73FA3DB0"/>
    <w:rsid w:val="76FE3E86"/>
    <w:rsid w:val="798F06C0"/>
    <w:rsid w:val="7AFE1424"/>
    <w:rsid w:val="7EF31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outlineLvl w:val="0"/>
    </w:pPr>
    <w:rPr>
      <w:b/>
      <w:kern w:val="44"/>
      <w:sz w:val="28"/>
      <w:szCs w:val="28"/>
    </w:rPr>
  </w:style>
  <w:style w:type="paragraph" w:styleId="5">
    <w:name w:val="heading 2"/>
    <w:basedOn w:val="1"/>
    <w:next w:val="6"/>
    <w:link w:val="29"/>
    <w:unhideWhenUsed/>
    <w:qFormat/>
    <w:uiPriority w:val="9"/>
    <w:pPr>
      <w:keepNext/>
      <w:keepLines/>
      <w:spacing w:before="260" w:after="260" w:line="416" w:lineRule="auto"/>
      <w:outlineLvl w:val="1"/>
    </w:pPr>
    <w:rPr>
      <w:rFonts w:ascii="Cambria" w:hAnsi="Cambria" w:cs="黑体"/>
      <w:b/>
      <w:bCs/>
      <w:sz w:val="32"/>
      <w:szCs w:val="32"/>
    </w:rPr>
  </w:style>
  <w:style w:type="paragraph" w:styleId="8">
    <w:name w:val="heading 3"/>
    <w:basedOn w:val="1"/>
    <w:next w:val="1"/>
    <w:unhideWhenUsed/>
    <w:qFormat/>
    <w:uiPriority w:val="9"/>
    <w:pPr>
      <w:keepNext/>
      <w:keepLines/>
      <w:spacing w:line="360" w:lineRule="auto"/>
      <w:ind w:firstLine="720" w:firstLineChars="200"/>
      <w:outlineLvl w:val="2"/>
    </w:pPr>
    <w:rPr>
      <w:rFonts w:ascii="宋体" w:hAnsi="宋体" w:eastAsia="宋体" w:cs="宋体"/>
      <w:sz w:val="24"/>
      <w:szCs w:val="24"/>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ascii="Times New Roman" w:hAnsi="Times New Roman"/>
    </w:rPr>
  </w:style>
  <w:style w:type="paragraph" w:styleId="3">
    <w:name w:val="Body Text Indent"/>
    <w:basedOn w:val="1"/>
    <w:unhideWhenUsed/>
    <w:qFormat/>
    <w:uiPriority w:val="0"/>
    <w:pPr>
      <w:ind w:firstLine="700" w:firstLineChars="250"/>
    </w:pPr>
    <w:rPr>
      <w:sz w:val="28"/>
    </w:rPr>
  </w:style>
  <w:style w:type="paragraph" w:styleId="6">
    <w:name w:val="Body Text First Indent"/>
    <w:basedOn w:val="7"/>
    <w:unhideWhenUsed/>
    <w:qFormat/>
    <w:uiPriority w:val="0"/>
    <w:pPr>
      <w:ind w:firstLine="420" w:firstLineChars="100"/>
    </w:pPr>
  </w:style>
  <w:style w:type="paragraph" w:styleId="7">
    <w:name w:val="Body Text"/>
    <w:basedOn w:val="1"/>
    <w:unhideWhenUsed/>
    <w:qFormat/>
    <w:uiPriority w:val="0"/>
    <w:pPr>
      <w:spacing w:line="360" w:lineRule="auto"/>
      <w:ind w:firstLine="720" w:firstLineChars="200"/>
    </w:pPr>
    <w:rPr>
      <w:rFonts w:ascii="宋体" w:hAnsi="宋体" w:eastAsia="宋体" w:cs="宋体"/>
      <w:sz w:val="24"/>
      <w:szCs w:val="24"/>
    </w:rPr>
  </w:style>
  <w:style w:type="paragraph" w:styleId="9">
    <w:name w:val="List Number"/>
    <w:basedOn w:val="1"/>
    <w:unhideWhenUsed/>
    <w:qFormat/>
    <w:uiPriority w:val="99"/>
    <w:pPr>
      <w:tabs>
        <w:tab w:val="left" w:pos="0"/>
      </w:tabs>
      <w:topLinePunct/>
      <w:adjustRightInd w:val="0"/>
      <w:snapToGrid w:val="0"/>
      <w:spacing w:line="312" w:lineRule="atLeast"/>
      <w:jc w:val="left"/>
    </w:pPr>
    <w:rPr>
      <w:rFonts w:hint="eastAsia" w:ascii="仿宋_GB2312" w:hAnsi="Tms Romn 15cpi" w:eastAsia="仿宋_GB2312"/>
      <w:color w:val="000000"/>
      <w:sz w:val="28"/>
      <w:szCs w:val="18"/>
    </w:rPr>
  </w:style>
  <w:style w:type="paragraph" w:styleId="10">
    <w:name w:val="Normal Indent"/>
    <w:basedOn w:val="1"/>
    <w:link w:val="30"/>
    <w:unhideWhenUsed/>
    <w:qFormat/>
    <w:uiPriority w:val="0"/>
    <w:pPr>
      <w:tabs>
        <w:tab w:val="left" w:pos="720"/>
      </w:tabs>
      <w:topLinePunct/>
      <w:adjustRightInd w:val="0"/>
      <w:snapToGrid w:val="0"/>
      <w:spacing w:line="312" w:lineRule="atLeast"/>
      <w:ind w:left="-2" w:firstLine="420" w:firstLineChars="200"/>
      <w:textAlignment w:val="baseline"/>
    </w:pPr>
    <w:rPr>
      <w:rFonts w:ascii="仿宋_GB2312" w:eastAsia="仿宋_GB2312"/>
      <w:color w:val="000000"/>
      <w:sz w:val="28"/>
      <w:szCs w:val="28"/>
    </w:rPr>
  </w:style>
  <w:style w:type="paragraph" w:styleId="11">
    <w:name w:val="footer"/>
    <w:basedOn w:val="1"/>
    <w:link w:val="27"/>
    <w:unhideWhenUsed/>
    <w:qFormat/>
    <w:uiPriority w:val="99"/>
    <w:pPr>
      <w:tabs>
        <w:tab w:val="center" w:pos="4153"/>
        <w:tab w:val="right" w:pos="8306"/>
      </w:tabs>
      <w:snapToGrid w:val="0"/>
      <w:jc w:val="left"/>
    </w:pPr>
    <w:rPr>
      <w:rFonts w:ascii="Calibri" w:hAnsi="Calibri" w:cs="黑体"/>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3">
    <w:name w:val="toc 1"/>
    <w:basedOn w:val="1"/>
    <w:next w:val="1"/>
    <w:unhideWhenUsed/>
    <w:qFormat/>
    <w:uiPriority w:val="39"/>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unhideWhenUsed/>
    <w:qFormat/>
    <w:uiPriority w:val="99"/>
  </w:style>
  <w:style w:type="paragraph" w:customStyle="1" w:styleId="18">
    <w:name w:val="bh"/>
    <w:basedOn w:val="1"/>
    <w:link w:val="28"/>
    <w:qFormat/>
    <w:uiPriority w:val="0"/>
    <w:pPr>
      <w:tabs>
        <w:tab w:val="right" w:pos="7938"/>
      </w:tabs>
      <w:overflowPunct w:val="0"/>
      <w:topLinePunct/>
      <w:ind w:firstLine="360" w:firstLineChars="200"/>
    </w:pPr>
    <w:rPr>
      <w:rFonts w:ascii="Calibri" w:hAnsi="Calibri" w:cs="黑体"/>
      <w:color w:val="000000"/>
      <w:sz w:val="18"/>
      <w:szCs w:val="18"/>
    </w:rPr>
  </w:style>
  <w:style w:type="paragraph" w:customStyle="1" w:styleId="19">
    <w:name w:val="D3"/>
    <w:basedOn w:val="1"/>
    <w:qFormat/>
    <w:uiPriority w:val="0"/>
    <w:pPr>
      <w:ind w:firstLine="420"/>
    </w:pPr>
    <w:rPr>
      <w:rFonts w:eastAsia="仿宋_GB2312"/>
      <w:kern w:val="22"/>
      <w:sz w:val="22"/>
      <w:szCs w:val="22"/>
    </w:rPr>
  </w:style>
  <w:style w:type="paragraph" w:customStyle="1" w:styleId="20">
    <w:name w:val="样式 标题 2 + 段前: 0 磅 段后: 0 磅 行距: 多倍行距 2.25 字行"/>
    <w:basedOn w:val="5"/>
    <w:qFormat/>
    <w:uiPriority w:val="0"/>
    <w:pPr>
      <w:tabs>
        <w:tab w:val="left" w:pos="1215"/>
      </w:tabs>
      <w:spacing w:before="156" w:beforeLines="50" w:after="156" w:afterLines="50" w:line="240" w:lineRule="auto"/>
    </w:pPr>
    <w:rPr>
      <w:rFonts w:ascii="Times New Roman" w:hAnsi="Times New Roman" w:cs="Times New Roman"/>
      <w:bCs w:val="0"/>
      <w:sz w:val="30"/>
      <w:szCs w:val="24"/>
    </w:rPr>
  </w:style>
  <w:style w:type="paragraph" w:customStyle="1" w:styleId="21">
    <w:name w:val="Table Paragraph"/>
    <w:basedOn w:val="1"/>
    <w:qFormat/>
    <w:uiPriority w:val="1"/>
    <w:rPr>
      <w:rFonts w:ascii="宋体" w:hAnsi="宋体" w:cs="宋体"/>
      <w:lang w:val="zh-CN" w:bidi="zh-CN"/>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列出段落11"/>
    <w:basedOn w:val="1"/>
    <w:qFormat/>
    <w:uiPriority w:val="0"/>
    <w:pPr>
      <w:topLinePunct/>
      <w:ind w:firstLine="420" w:firstLineChars="200"/>
    </w:pPr>
  </w:style>
  <w:style w:type="paragraph" w:customStyle="1" w:styleId="24">
    <w:name w:val="样式1"/>
    <w:basedOn w:val="13"/>
    <w:qFormat/>
    <w:uiPriority w:val="0"/>
    <w:pPr>
      <w:tabs>
        <w:tab w:val="left" w:pos="960"/>
        <w:tab w:val="right" w:leader="dot" w:pos="9061"/>
      </w:tabs>
      <w:spacing w:line="240" w:lineRule="exact"/>
      <w:ind w:left="51" w:firstLine="0"/>
      <w:jc w:val="both"/>
    </w:pPr>
    <w:rPr>
      <w:b/>
      <w:caps/>
      <w:color w:val="auto"/>
      <w:sz w:val="24"/>
      <w:szCs w:val="24"/>
    </w:rPr>
  </w:style>
  <w:style w:type="paragraph" w:customStyle="1" w:styleId="25">
    <w:name w:val="样式 标题 2标题 22标题 2 Char Char Char Char Char Char Char Char Char..."/>
    <w:basedOn w:val="5"/>
    <w:qFormat/>
    <w:uiPriority w:val="0"/>
    <w:pPr>
      <w:tabs>
        <w:tab w:val="left" w:pos="2461"/>
      </w:tabs>
      <w:spacing w:before="0" w:after="120" w:line="340" w:lineRule="exact"/>
      <w:jc w:val="both"/>
    </w:pPr>
    <w:rPr>
      <w:rFonts w:eastAsia="仿宋_GB2312" w:cs="Arial"/>
      <w:bCs w:val="0"/>
      <w:color w:val="auto"/>
      <w:sz w:val="24"/>
      <w:szCs w:val="24"/>
    </w:rPr>
  </w:style>
  <w:style w:type="character" w:customStyle="1" w:styleId="26">
    <w:name w:val="页眉 字符"/>
    <w:link w:val="12"/>
    <w:qFormat/>
    <w:uiPriority w:val="99"/>
    <w:rPr>
      <w:sz w:val="18"/>
      <w:szCs w:val="18"/>
    </w:rPr>
  </w:style>
  <w:style w:type="character" w:customStyle="1" w:styleId="27">
    <w:name w:val="页脚 字符"/>
    <w:link w:val="11"/>
    <w:qFormat/>
    <w:uiPriority w:val="99"/>
    <w:rPr>
      <w:sz w:val="18"/>
      <w:szCs w:val="18"/>
    </w:rPr>
  </w:style>
  <w:style w:type="character" w:customStyle="1" w:styleId="28">
    <w:name w:val="bh Char"/>
    <w:link w:val="18"/>
    <w:qFormat/>
    <w:uiPriority w:val="0"/>
    <w:rPr>
      <w:color w:val="000000"/>
      <w:sz w:val="18"/>
      <w:szCs w:val="18"/>
    </w:rPr>
  </w:style>
  <w:style w:type="character" w:customStyle="1" w:styleId="29">
    <w:name w:val="标题 2 字符"/>
    <w:link w:val="5"/>
    <w:semiHidden/>
    <w:qFormat/>
    <w:uiPriority w:val="9"/>
    <w:rPr>
      <w:rFonts w:ascii="Cambria" w:hAnsi="Cambria" w:eastAsia="宋体" w:cs="黑体"/>
      <w:b/>
      <w:bCs/>
      <w:sz w:val="32"/>
      <w:szCs w:val="32"/>
    </w:rPr>
  </w:style>
  <w:style w:type="character" w:customStyle="1" w:styleId="30">
    <w:name w:val="正文缩进 字符"/>
    <w:link w:val="10"/>
    <w:qFormat/>
    <w:uiPriority w:val="0"/>
    <w:rPr>
      <w:rFonts w:ascii="仿宋_GB2312" w:eastAsia="仿宋_GB2312"/>
      <w:color w:val="000000"/>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2586</Words>
  <Characters>2692</Characters>
  <Lines>36</Lines>
  <Paragraphs>10</Paragraphs>
  <TotalTime>4</TotalTime>
  <ScaleCrop>false</ScaleCrop>
  <LinksUpToDate>false</LinksUpToDate>
  <CharactersWithSpaces>2760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2018-09-04T09:24:00Z</dcterms:created>
  <dc:creator>AutoBVT</dc:creator>
  <cp:lastModifiedBy>Administrator</cp:lastModifiedBy>
  <cp:lastPrinted>2019-11-11T13:20:00Z</cp:lastPrinted>
  <dcterms:modified xsi:type="dcterms:W3CDTF">2022-09-04T07:23:01Z</dcterms:modified>
  <dc:title>SXMB3：项目管理实施规划/（专项）施工方案报审表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0C738CCAEA3346218B121618CF02E10B</vt:lpwstr>
  </property>
</Properties>
</file>