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djustRightInd w:val="0"/>
        <w:spacing w:before="160" w:after="60"/>
        <w:jc w:val="center"/>
        <w:rPr>
          <w:rFonts w:ascii="宋体" w:hAnsi="宋体"/>
          <w:b/>
          <w:kern w:val="21"/>
          <w:sz w:val="28"/>
          <w:szCs w:val="21"/>
        </w:rPr>
      </w:pPr>
      <w:r>
        <w:rPr>
          <w:rFonts w:hint="eastAsia" w:ascii="宋体" w:hAnsi="宋体"/>
          <w:b/>
          <w:kern w:val="21"/>
          <w:sz w:val="28"/>
          <w:szCs w:val="21"/>
        </w:rPr>
        <w:t>安全活动记录</w:t>
      </w:r>
    </w:p>
    <w:p>
      <w:pPr>
        <w:tabs>
          <w:tab w:val="left" w:pos="7590"/>
        </w:tabs>
        <w:topLinePunct/>
        <w:rPr>
          <w:rFonts w:hint="default" w:ascii="宋体" w:hAnsi="宋体" w:eastAsia="宋体"/>
          <w:kern w:val="21"/>
          <w:sz w:val="24"/>
          <w:lang w:val="en-US" w:eastAsia="zh-CN"/>
        </w:rPr>
      </w:pPr>
      <w:bookmarkStart w:id="0" w:name="_Hlk13224365"/>
      <w:r>
        <w:rPr>
          <w:rFonts w:hint="eastAsia" w:ascii="宋体" w:hAnsi="宋体"/>
          <w:kern w:val="21"/>
          <w:szCs w:val="21"/>
        </w:rPr>
        <w:t>工程名称：海南联</w:t>
      </w:r>
      <w:bookmarkStart w:id="2" w:name="_GoBack"/>
      <w:r>
        <w:rPr>
          <w:rFonts w:hint="eastAsia" w:ascii="宋体" w:hAnsi="宋体"/>
          <w:kern w:val="21"/>
          <w:szCs w:val="21"/>
        </w:rPr>
        <w:t>瑞</w:t>
      </w:r>
      <w:bookmarkEnd w:id="2"/>
      <w:r>
        <w:rPr>
          <w:rFonts w:hint="eastAsia" w:ascii="宋体" w:hAnsi="宋体"/>
          <w:kern w:val="21"/>
          <w:szCs w:val="21"/>
        </w:rPr>
        <w:t xml:space="preserve">分布式光伏发电项目 </w:t>
      </w:r>
      <w:r>
        <w:rPr>
          <w:rFonts w:ascii="宋体" w:hAnsi="宋体"/>
          <w:kern w:val="21"/>
          <w:szCs w:val="21"/>
        </w:rPr>
        <w:t xml:space="preserve">                     </w:t>
      </w:r>
      <w:r>
        <w:rPr>
          <w:rFonts w:hint="eastAsia" w:ascii="宋体" w:hAnsi="宋体"/>
          <w:kern w:val="21"/>
          <w:szCs w:val="21"/>
          <w:lang w:val="en-US" w:eastAsia="zh-CN"/>
        </w:rPr>
        <w:t xml:space="preserve">  </w:t>
      </w:r>
      <w:r>
        <w:rPr>
          <w:rFonts w:hint="eastAsia" w:ascii="宋体" w:hAnsi="宋体"/>
          <w:kern w:val="21"/>
          <w:szCs w:val="21"/>
        </w:rPr>
        <w:t>编号：</w:t>
      </w:r>
      <w:bookmarkEnd w:id="0"/>
      <w:r>
        <w:rPr>
          <w:rFonts w:hint="eastAsia" w:ascii="宋体" w:hAnsi="宋体"/>
          <w:kern w:val="21"/>
          <w:szCs w:val="21"/>
          <w:lang w:val="en-US" w:eastAsia="zh-CN"/>
        </w:rPr>
        <w:t>HNLR-SJ-AQJL-001</w:t>
      </w:r>
    </w:p>
    <w:tbl>
      <w:tblPr>
        <w:tblStyle w:val="5"/>
        <w:tblW w:w="939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
      <w:tblGrid>
        <w:gridCol w:w="2829"/>
        <w:gridCol w:w="65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jc w:val="center"/>
        </w:trPr>
        <w:tc>
          <w:tcPr>
            <w:tcW w:w="2829" w:type="dxa"/>
            <w:tcMar>
              <w:top w:w="0" w:type="dxa"/>
              <w:left w:w="85" w:type="dxa"/>
              <w:bottom w:w="0" w:type="dxa"/>
              <w:right w:w="85" w:type="dxa"/>
            </w:tcMar>
            <w:vAlign w:val="center"/>
          </w:tcPr>
          <w:p>
            <w:pPr>
              <w:topLinePunct/>
              <w:snapToGrid w:val="0"/>
              <w:spacing w:before="60" w:after="60"/>
              <w:jc w:val="center"/>
              <w:rPr>
                <w:rFonts w:ascii="宋体" w:hAnsi="宋体"/>
                <w:sz w:val="24"/>
              </w:rPr>
            </w:pPr>
            <w:r>
              <w:rPr>
                <w:rFonts w:hint="eastAsia" w:ascii="宋体" w:hAnsi="宋体"/>
                <w:sz w:val="24"/>
              </w:rPr>
              <w:t>活动时间</w:t>
            </w:r>
          </w:p>
        </w:tc>
        <w:tc>
          <w:tcPr>
            <w:tcW w:w="6562" w:type="dxa"/>
            <w:tcMar>
              <w:top w:w="0" w:type="dxa"/>
              <w:left w:w="85" w:type="dxa"/>
              <w:bottom w:w="0" w:type="dxa"/>
              <w:right w:w="85" w:type="dxa"/>
            </w:tcMar>
            <w:vAlign w:val="center"/>
          </w:tcPr>
          <w:p>
            <w:pPr>
              <w:topLinePunct/>
              <w:snapToGrid w:val="0"/>
              <w:spacing w:before="60" w:after="60"/>
              <w:jc w:val="center"/>
              <w:rPr>
                <w:rFonts w:ascii="宋体" w:hAnsi="宋体"/>
                <w:sz w:val="24"/>
              </w:rPr>
            </w:pPr>
            <w:r>
              <w:rPr>
                <w:rFonts w:hint="eastAsia" w:ascii="宋体" w:hAnsi="宋体"/>
                <w:sz w:val="24"/>
              </w:rPr>
              <w:t>20</w:t>
            </w:r>
            <w:r>
              <w:rPr>
                <w:rFonts w:hint="eastAsia" w:ascii="宋体" w:hAnsi="宋体"/>
                <w:sz w:val="24"/>
                <w:lang w:val="en-US" w:eastAsia="zh-CN"/>
              </w:rPr>
              <w:t>23</w:t>
            </w:r>
            <w:r>
              <w:rPr>
                <w:rFonts w:hint="eastAsia" w:ascii="宋体" w:hAnsi="宋体"/>
                <w:sz w:val="24"/>
              </w:rPr>
              <w:t>年</w:t>
            </w:r>
            <w:r>
              <w:rPr>
                <w:rFonts w:hint="eastAsia" w:ascii="宋体" w:hAnsi="宋体"/>
                <w:sz w:val="24"/>
                <w:lang w:val="en-US" w:eastAsia="zh-CN"/>
              </w:rPr>
              <w:t>3</w:t>
            </w:r>
            <w:r>
              <w:rPr>
                <w:rFonts w:hint="eastAsia" w:ascii="宋体" w:hAnsi="宋体"/>
                <w:sz w:val="24"/>
              </w:rPr>
              <w:t>月2</w:t>
            </w:r>
            <w:r>
              <w:rPr>
                <w:rFonts w:hint="eastAsia" w:ascii="宋体" w:hAnsi="宋体"/>
                <w:sz w:val="24"/>
                <w:lang w:val="en-US" w:eastAsia="zh-CN"/>
              </w:rPr>
              <w:t>8</w:t>
            </w:r>
            <w:r>
              <w:rPr>
                <w:rFonts w:hint="eastAsia" w:ascii="宋体" w:hAnsi="宋体"/>
                <w:sz w:val="24"/>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jc w:val="center"/>
        </w:trPr>
        <w:tc>
          <w:tcPr>
            <w:tcW w:w="2829" w:type="dxa"/>
            <w:tcMar>
              <w:top w:w="0" w:type="dxa"/>
              <w:left w:w="85" w:type="dxa"/>
              <w:bottom w:w="0" w:type="dxa"/>
              <w:right w:w="85" w:type="dxa"/>
            </w:tcMar>
            <w:vAlign w:val="center"/>
          </w:tcPr>
          <w:p>
            <w:pPr>
              <w:topLinePunct/>
              <w:snapToGrid w:val="0"/>
              <w:spacing w:before="60" w:after="60"/>
              <w:jc w:val="center"/>
              <w:rPr>
                <w:rFonts w:ascii="宋体" w:hAnsi="宋体"/>
                <w:sz w:val="24"/>
              </w:rPr>
            </w:pPr>
            <w:r>
              <w:rPr>
                <w:rFonts w:hint="eastAsia" w:ascii="宋体" w:hAnsi="宋体"/>
                <w:sz w:val="24"/>
              </w:rPr>
              <w:t>活动地点</w:t>
            </w:r>
          </w:p>
        </w:tc>
        <w:tc>
          <w:tcPr>
            <w:tcW w:w="6562" w:type="dxa"/>
            <w:tcMar>
              <w:top w:w="0" w:type="dxa"/>
              <w:left w:w="85" w:type="dxa"/>
              <w:bottom w:w="0" w:type="dxa"/>
              <w:right w:w="85" w:type="dxa"/>
            </w:tcMar>
            <w:vAlign w:val="center"/>
          </w:tcPr>
          <w:p>
            <w:pPr>
              <w:topLinePunct/>
              <w:snapToGrid w:val="0"/>
              <w:spacing w:before="60" w:after="60"/>
              <w:jc w:val="center"/>
              <w:rPr>
                <w:rFonts w:ascii="宋体" w:hAnsi="宋体"/>
                <w:sz w:val="24"/>
              </w:rPr>
            </w:pPr>
            <w:r>
              <w:rPr>
                <w:rFonts w:hint="eastAsia" w:ascii="宋体" w:hAnsi="宋体"/>
                <w:sz w:val="24"/>
              </w:rPr>
              <w:t>项目地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jc w:val="center"/>
        </w:trPr>
        <w:tc>
          <w:tcPr>
            <w:tcW w:w="2829" w:type="dxa"/>
            <w:tcMar>
              <w:top w:w="0" w:type="dxa"/>
              <w:left w:w="85" w:type="dxa"/>
              <w:bottom w:w="0" w:type="dxa"/>
              <w:right w:w="85" w:type="dxa"/>
            </w:tcMar>
            <w:vAlign w:val="center"/>
          </w:tcPr>
          <w:p>
            <w:pPr>
              <w:topLinePunct/>
              <w:snapToGrid w:val="0"/>
              <w:spacing w:before="60" w:after="60"/>
              <w:jc w:val="center"/>
              <w:rPr>
                <w:rFonts w:ascii="宋体" w:hAnsi="宋体"/>
                <w:sz w:val="24"/>
              </w:rPr>
            </w:pPr>
            <w:r>
              <w:rPr>
                <w:rFonts w:hint="eastAsia" w:ascii="宋体" w:hAnsi="宋体"/>
                <w:sz w:val="24"/>
              </w:rPr>
              <w:t>主持（交底）人</w:t>
            </w:r>
          </w:p>
        </w:tc>
        <w:tc>
          <w:tcPr>
            <w:tcW w:w="6562" w:type="dxa"/>
            <w:tcMar>
              <w:top w:w="0" w:type="dxa"/>
              <w:left w:w="85" w:type="dxa"/>
              <w:bottom w:w="0" w:type="dxa"/>
              <w:right w:w="85" w:type="dxa"/>
            </w:tcMar>
            <w:vAlign w:val="center"/>
          </w:tcPr>
          <w:p>
            <w:pPr>
              <w:topLinePunct/>
              <w:snapToGrid w:val="0"/>
              <w:spacing w:before="60" w:after="60"/>
              <w:jc w:val="center"/>
              <w:rPr>
                <w:rFonts w:hint="default" w:ascii="宋体" w:hAnsi="宋体" w:eastAsia="宋体"/>
                <w:sz w:val="24"/>
                <w:lang w:val="en-US" w:eastAsia="zh-CN"/>
              </w:rPr>
            </w:pPr>
            <w:r>
              <w:rPr>
                <w:rFonts w:hint="eastAsia" w:ascii="宋体" w:hAnsi="宋体"/>
                <w:sz w:val="24"/>
                <w:lang w:val="en-US" w:eastAsia="zh-CN"/>
              </w:rPr>
              <w:t>王立杰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jc w:val="center"/>
        </w:trPr>
        <w:tc>
          <w:tcPr>
            <w:tcW w:w="9391" w:type="dxa"/>
            <w:gridSpan w:val="2"/>
            <w:tcMar>
              <w:top w:w="0" w:type="dxa"/>
              <w:left w:w="85" w:type="dxa"/>
              <w:bottom w:w="0" w:type="dxa"/>
              <w:right w:w="85" w:type="dxa"/>
            </w:tcMar>
            <w:vAlign w:val="center"/>
          </w:tcPr>
          <w:p>
            <w:pPr>
              <w:numPr>
                <w:ilvl w:val="0"/>
                <w:numId w:val="1"/>
              </w:numPr>
              <w:spacing w:line="480" w:lineRule="auto"/>
              <w:rPr>
                <w:b/>
                <w:sz w:val="28"/>
                <w:szCs w:val="21"/>
              </w:rPr>
            </w:pPr>
            <w:r>
              <w:rPr>
                <w:rFonts w:hint="eastAsia"/>
                <w:b/>
                <w:sz w:val="28"/>
                <w:szCs w:val="21"/>
              </w:rPr>
              <w:t>安全</w:t>
            </w:r>
            <w:r>
              <w:rPr>
                <w:rFonts w:hint="eastAsia" w:ascii="宋体" w:hAnsi="宋体"/>
                <w:b/>
                <w:sz w:val="28"/>
                <w:szCs w:val="21"/>
              </w:rPr>
              <w:t>生产依据</w:t>
            </w:r>
            <w:r>
              <w:rPr>
                <w:rFonts w:hint="eastAsia"/>
                <w:b/>
                <w:sz w:val="28"/>
                <w:szCs w:val="21"/>
              </w:rPr>
              <w:t xml:space="preserve">  </w:t>
            </w:r>
          </w:p>
          <w:p>
            <w:pPr>
              <w:numPr>
                <w:ilvl w:val="0"/>
                <w:numId w:val="2"/>
              </w:numPr>
              <w:spacing w:line="360" w:lineRule="auto"/>
              <w:rPr>
                <w:rFonts w:ascii="仿宋" w:hAnsi="仿宋" w:eastAsia="仿宋"/>
                <w:sz w:val="24"/>
              </w:rPr>
            </w:pPr>
            <w:r>
              <w:rPr>
                <w:rFonts w:hint="eastAsia" w:ascii="仿宋" w:hAnsi="仿宋" w:eastAsia="仿宋"/>
                <w:sz w:val="24"/>
              </w:rPr>
              <w:t>中华人民共和国国务院令第393号《建设工程安全生产管理条例》</w:t>
            </w:r>
          </w:p>
          <w:p>
            <w:pPr>
              <w:numPr>
                <w:ilvl w:val="0"/>
                <w:numId w:val="2"/>
              </w:numPr>
              <w:spacing w:line="360" w:lineRule="auto"/>
              <w:rPr>
                <w:rFonts w:ascii="仿宋" w:hAnsi="仿宋" w:eastAsia="仿宋"/>
                <w:sz w:val="24"/>
              </w:rPr>
            </w:pPr>
            <w:r>
              <w:rPr>
                <w:rFonts w:ascii="仿宋" w:hAnsi="仿宋" w:eastAsia="仿宋"/>
                <w:sz w:val="24"/>
              </w:rPr>
              <w:t>中华人民共和国国务院令第493号《生产安全事故报告和调查处理条例》</w:t>
            </w:r>
          </w:p>
          <w:p>
            <w:pPr>
              <w:numPr>
                <w:ilvl w:val="0"/>
                <w:numId w:val="2"/>
              </w:numPr>
              <w:spacing w:line="360" w:lineRule="auto"/>
              <w:rPr>
                <w:rFonts w:ascii="仿宋" w:hAnsi="仿宋" w:eastAsia="仿宋"/>
                <w:sz w:val="24"/>
              </w:rPr>
            </w:pPr>
            <w:r>
              <w:rPr>
                <w:rFonts w:ascii="仿宋" w:hAnsi="仿宋" w:eastAsia="仿宋"/>
                <w:sz w:val="24"/>
              </w:rPr>
              <w:t>中华人民共和国国务院令（第397号）</w:t>
            </w:r>
            <w:r>
              <w:rPr>
                <w:rFonts w:hint="eastAsia" w:ascii="仿宋" w:hAnsi="仿宋" w:eastAsia="仿宋"/>
                <w:sz w:val="24"/>
              </w:rPr>
              <w:t>《</w:t>
            </w:r>
            <w:r>
              <w:rPr>
                <w:rFonts w:ascii="仿宋" w:hAnsi="仿宋" w:eastAsia="仿宋"/>
                <w:bCs/>
                <w:sz w:val="24"/>
              </w:rPr>
              <w:t>安全生产许可证条例</w:t>
            </w:r>
            <w:r>
              <w:rPr>
                <w:rFonts w:hint="eastAsia" w:ascii="仿宋" w:hAnsi="仿宋" w:eastAsia="仿宋"/>
                <w:bCs/>
                <w:sz w:val="24"/>
              </w:rPr>
              <w:t>》</w:t>
            </w:r>
          </w:p>
          <w:p>
            <w:pPr>
              <w:numPr>
                <w:ilvl w:val="0"/>
                <w:numId w:val="2"/>
              </w:numPr>
              <w:spacing w:line="360" w:lineRule="auto"/>
              <w:rPr>
                <w:rFonts w:ascii="仿宋" w:hAnsi="仿宋" w:eastAsia="仿宋"/>
                <w:sz w:val="24"/>
              </w:rPr>
            </w:pPr>
            <w:r>
              <w:rPr>
                <w:rFonts w:ascii="仿宋" w:hAnsi="仿宋" w:eastAsia="仿宋"/>
                <w:sz w:val="24"/>
              </w:rPr>
              <w:t>中华人民共和国</w:t>
            </w:r>
            <w:r>
              <w:rPr>
                <w:rFonts w:hint="eastAsia" w:ascii="仿宋" w:hAnsi="仿宋" w:eastAsia="仿宋"/>
                <w:sz w:val="24"/>
              </w:rPr>
              <w:t>主席令70号《</w:t>
            </w:r>
            <w:r>
              <w:rPr>
                <w:rFonts w:ascii="仿宋" w:hAnsi="仿宋" w:eastAsia="仿宋"/>
                <w:sz w:val="24"/>
              </w:rPr>
              <w:t>中华人民共和国安全生产法</w:t>
            </w:r>
            <w:r>
              <w:rPr>
                <w:rFonts w:hint="eastAsia" w:ascii="仿宋" w:hAnsi="仿宋" w:eastAsia="仿宋"/>
                <w:sz w:val="24"/>
              </w:rPr>
              <w:t>》</w:t>
            </w:r>
          </w:p>
          <w:p>
            <w:pPr>
              <w:numPr>
                <w:ilvl w:val="0"/>
                <w:numId w:val="2"/>
              </w:numPr>
              <w:spacing w:line="360" w:lineRule="auto"/>
              <w:rPr>
                <w:rFonts w:ascii="仿宋" w:hAnsi="仿宋" w:eastAsia="仿宋"/>
                <w:sz w:val="24"/>
              </w:rPr>
            </w:pPr>
            <w:r>
              <w:rPr>
                <w:rFonts w:hint="eastAsia" w:ascii="仿宋" w:hAnsi="仿宋" w:eastAsia="仿宋"/>
                <w:sz w:val="24"/>
              </w:rPr>
              <w:t>1995年公安部频布</w:t>
            </w:r>
            <w:r>
              <w:rPr>
                <w:rFonts w:ascii="仿宋" w:hAnsi="仿宋" w:eastAsia="仿宋"/>
                <w:sz w:val="24"/>
              </w:rPr>
              <w:t>中华人民共和国《高速公路交通管理办法》</w:t>
            </w:r>
          </w:p>
          <w:p>
            <w:pPr>
              <w:numPr>
                <w:ilvl w:val="0"/>
                <w:numId w:val="2"/>
              </w:numPr>
              <w:spacing w:line="360" w:lineRule="auto"/>
              <w:rPr>
                <w:rFonts w:ascii="仿宋" w:hAnsi="仿宋" w:eastAsia="仿宋"/>
                <w:sz w:val="24"/>
              </w:rPr>
            </w:pPr>
            <w:r>
              <w:rPr>
                <w:rFonts w:ascii="仿宋" w:hAnsi="仿宋" w:eastAsia="仿宋"/>
                <w:sz w:val="24"/>
              </w:rPr>
              <w:t>中华人民共和国卫生部令 第23号《职业健康监护管理办法》</w:t>
            </w:r>
          </w:p>
          <w:p>
            <w:pPr>
              <w:numPr>
                <w:ilvl w:val="0"/>
                <w:numId w:val="2"/>
              </w:numPr>
              <w:spacing w:line="360" w:lineRule="auto"/>
              <w:rPr>
                <w:rFonts w:ascii="仿宋" w:hAnsi="仿宋" w:eastAsia="仿宋"/>
                <w:sz w:val="24"/>
              </w:rPr>
            </w:pPr>
            <w:r>
              <w:rPr>
                <w:rFonts w:hint="eastAsia" w:ascii="仿宋" w:hAnsi="仿宋" w:eastAsia="仿宋"/>
                <w:sz w:val="24"/>
              </w:rPr>
              <w:t>1995年劳动部频布《</w:t>
            </w:r>
            <w:r>
              <w:rPr>
                <w:rFonts w:ascii="仿宋" w:hAnsi="仿宋" w:eastAsia="仿宋"/>
                <w:sz w:val="24"/>
              </w:rPr>
              <w:t>企业职工劳动安全卫生教育管理规定</w:t>
            </w:r>
            <w:r>
              <w:rPr>
                <w:rFonts w:hint="eastAsia" w:ascii="仿宋" w:hAnsi="仿宋" w:eastAsia="仿宋"/>
                <w:sz w:val="24"/>
              </w:rPr>
              <w:t>》</w:t>
            </w:r>
          </w:p>
          <w:p>
            <w:pPr>
              <w:numPr>
                <w:ilvl w:val="0"/>
                <w:numId w:val="2"/>
              </w:numPr>
              <w:spacing w:line="360" w:lineRule="auto"/>
              <w:rPr>
                <w:rFonts w:ascii="仿宋" w:hAnsi="仿宋" w:eastAsia="仿宋"/>
                <w:sz w:val="24"/>
              </w:rPr>
            </w:pPr>
            <w:r>
              <w:rPr>
                <w:rFonts w:ascii="仿宋" w:hAnsi="仿宋" w:eastAsia="仿宋"/>
                <w:sz w:val="24"/>
              </w:rPr>
              <w:t>ＪＧＪ５９－９９建筑施工安全检查标准</w:t>
            </w:r>
          </w:p>
          <w:p>
            <w:pPr>
              <w:numPr>
                <w:ilvl w:val="0"/>
                <w:numId w:val="2"/>
              </w:numPr>
              <w:spacing w:line="360" w:lineRule="auto"/>
              <w:rPr>
                <w:rFonts w:ascii="仿宋" w:hAnsi="仿宋" w:eastAsia="仿宋"/>
                <w:sz w:val="24"/>
              </w:rPr>
            </w:pPr>
            <w:r>
              <w:rPr>
                <w:rFonts w:hint="eastAsia" w:ascii="仿宋" w:hAnsi="仿宋" w:eastAsia="仿宋"/>
                <w:sz w:val="24"/>
              </w:rPr>
              <w:t>建设部令13号《</w:t>
            </w:r>
            <w:r>
              <w:rPr>
                <w:rFonts w:ascii="仿宋" w:hAnsi="仿宋" w:eastAsia="仿宋"/>
                <w:sz w:val="24"/>
              </w:rPr>
              <w:t>建筑安全生产监督管理规定</w:t>
            </w:r>
            <w:r>
              <w:rPr>
                <w:rFonts w:hint="eastAsia" w:ascii="仿宋" w:hAnsi="仿宋" w:eastAsia="仿宋"/>
                <w:sz w:val="24"/>
              </w:rPr>
              <w:t>》</w:t>
            </w:r>
          </w:p>
          <w:p>
            <w:pPr>
              <w:numPr>
                <w:ilvl w:val="0"/>
                <w:numId w:val="2"/>
              </w:numPr>
              <w:spacing w:line="360" w:lineRule="auto"/>
              <w:rPr>
                <w:rFonts w:ascii="仿宋" w:hAnsi="仿宋" w:eastAsia="仿宋"/>
                <w:sz w:val="24"/>
              </w:rPr>
            </w:pPr>
            <w:r>
              <w:rPr>
                <w:rFonts w:ascii="仿宋" w:hAnsi="仿宋" w:eastAsia="仿宋"/>
                <w:sz w:val="24"/>
              </w:rPr>
              <w:t>中华人民共和国劳动部令第３号《建设项目（工程）劳动安全卫生监察规定》</w:t>
            </w:r>
          </w:p>
          <w:p>
            <w:pPr>
              <w:numPr>
                <w:ilvl w:val="0"/>
                <w:numId w:val="2"/>
              </w:numPr>
              <w:spacing w:line="360" w:lineRule="auto"/>
              <w:rPr>
                <w:rFonts w:ascii="仿宋" w:hAnsi="仿宋" w:eastAsia="仿宋"/>
                <w:sz w:val="24"/>
              </w:rPr>
            </w:pPr>
            <w:r>
              <w:rPr>
                <w:rFonts w:ascii="仿宋" w:hAnsi="仿宋" w:eastAsia="仿宋"/>
                <w:sz w:val="24"/>
              </w:rPr>
              <w:t>中华人民共和国公安部令 第61号</w:t>
            </w:r>
            <w:r>
              <w:rPr>
                <w:rFonts w:hint="eastAsia" w:ascii="仿宋" w:hAnsi="仿宋" w:eastAsia="仿宋"/>
                <w:sz w:val="24"/>
              </w:rPr>
              <w:t>《</w:t>
            </w:r>
            <w:r>
              <w:rPr>
                <w:rFonts w:ascii="仿宋" w:hAnsi="仿宋" w:eastAsia="仿宋"/>
                <w:sz w:val="24"/>
              </w:rPr>
              <w:t>机关、团体、企业、事业单位消防安全管理规定</w:t>
            </w:r>
            <w:r>
              <w:rPr>
                <w:rFonts w:hint="eastAsia" w:ascii="仿宋" w:hAnsi="仿宋" w:eastAsia="仿宋"/>
                <w:sz w:val="24"/>
              </w:rPr>
              <w:t>》</w:t>
            </w:r>
          </w:p>
          <w:p>
            <w:pPr>
              <w:numPr>
                <w:ilvl w:val="0"/>
                <w:numId w:val="2"/>
              </w:numPr>
              <w:spacing w:line="360" w:lineRule="auto"/>
              <w:rPr>
                <w:rFonts w:ascii="仿宋" w:hAnsi="仿宋" w:eastAsia="仿宋"/>
                <w:sz w:val="24"/>
              </w:rPr>
            </w:pPr>
            <w:r>
              <w:rPr>
                <w:rFonts w:hint="eastAsia" w:ascii="仿宋" w:hAnsi="仿宋" w:eastAsia="仿宋"/>
                <w:sz w:val="24"/>
              </w:rPr>
              <w:t>《工程建设标准强制性条文》建标〔2000〕179号、《工程建设标准强制性条文》建标〔2000〕202号、《工程建设标准强制性条文》建标〔2000〕219号</w:t>
            </w:r>
          </w:p>
          <w:p>
            <w:pPr>
              <w:numPr>
                <w:ilvl w:val="0"/>
                <w:numId w:val="2"/>
              </w:numPr>
              <w:spacing w:line="360" w:lineRule="auto"/>
              <w:rPr>
                <w:rFonts w:ascii="仿宋" w:hAnsi="仿宋" w:eastAsia="仿宋"/>
                <w:sz w:val="24"/>
              </w:rPr>
            </w:pPr>
            <w:bookmarkStart w:id="1" w:name="pid5755"/>
            <w:r>
              <w:rPr>
                <w:rFonts w:ascii="仿宋" w:hAnsi="仿宋" w:eastAsia="仿宋"/>
                <w:sz w:val="24"/>
              </w:rPr>
              <w:fldChar w:fldCharType="begin"/>
            </w:r>
            <w:r>
              <w:rPr>
                <w:rFonts w:ascii="仿宋" w:hAnsi="仿宋" w:eastAsia="仿宋"/>
                <w:sz w:val="24"/>
              </w:rPr>
              <w:instrText xml:space="preserve"> </w:instrText>
            </w:r>
            <w:r>
              <w:rPr>
                <w:rFonts w:hint="eastAsia" w:ascii="仿宋" w:hAnsi="仿宋" w:eastAsia="仿宋"/>
                <w:sz w:val="24"/>
              </w:rPr>
              <w:instrText xml:space="preserve">HYPERLINK "http://www.petroart.cn/misc.php?action=viewratings&amp;tid=1522&amp;pid=5755" \o "评分 0"</w:instrText>
            </w:r>
            <w:r>
              <w:rPr>
                <w:rFonts w:ascii="仿宋" w:hAnsi="仿宋" w:eastAsia="仿宋"/>
                <w:sz w:val="24"/>
              </w:rPr>
              <w:instrText xml:space="preserve"> </w:instrText>
            </w:r>
            <w:r>
              <w:rPr>
                <w:rFonts w:ascii="仿宋" w:hAnsi="仿宋" w:eastAsia="仿宋"/>
                <w:sz w:val="24"/>
              </w:rPr>
              <w:fldChar w:fldCharType="end"/>
            </w:r>
            <w:bookmarkEnd w:id="1"/>
            <w:r>
              <w:rPr>
                <w:rFonts w:ascii="仿宋" w:hAnsi="仿宋" w:eastAsia="仿宋"/>
                <w:sz w:val="24"/>
              </w:rPr>
              <w:t>建市[2006]248号</w:t>
            </w:r>
            <w:r>
              <w:rPr>
                <w:rFonts w:hint="eastAsia" w:ascii="仿宋" w:hAnsi="仿宋" w:eastAsia="仿宋"/>
                <w:sz w:val="24"/>
              </w:rPr>
              <w:t>《</w:t>
            </w:r>
            <w:r>
              <w:rPr>
                <w:rFonts w:ascii="仿宋" w:hAnsi="仿宋" w:eastAsia="仿宋"/>
                <w:sz w:val="24"/>
              </w:rPr>
              <w:t>关于落实建设工程安全生产监理责任的若干意见</w:t>
            </w:r>
            <w:r>
              <w:rPr>
                <w:rFonts w:hint="eastAsia" w:ascii="仿宋" w:hAnsi="仿宋" w:eastAsia="仿宋"/>
                <w:sz w:val="24"/>
              </w:rPr>
              <w:t>》</w:t>
            </w:r>
          </w:p>
          <w:p>
            <w:pPr>
              <w:numPr>
                <w:ilvl w:val="0"/>
                <w:numId w:val="2"/>
              </w:numPr>
              <w:spacing w:line="360" w:lineRule="auto"/>
              <w:rPr>
                <w:rFonts w:ascii="仿宋" w:hAnsi="仿宋" w:eastAsia="仿宋"/>
                <w:sz w:val="24"/>
              </w:rPr>
            </w:pPr>
            <w:r>
              <w:rPr>
                <w:rFonts w:hint="eastAsia" w:ascii="仿宋" w:hAnsi="仿宋" w:eastAsia="仿宋"/>
                <w:sz w:val="24"/>
              </w:rPr>
              <w:t>JGJ146-2004《建筑施工现场环境与卫生标准》</w:t>
            </w:r>
          </w:p>
          <w:p>
            <w:pPr>
              <w:spacing w:line="360" w:lineRule="auto"/>
              <w:ind w:left="420" w:leftChars="200" w:firstLine="480" w:firstLineChars="200"/>
              <w:rPr>
                <w:rFonts w:ascii="宋体" w:hAnsi="宋体"/>
                <w:sz w:val="24"/>
              </w:rPr>
            </w:pPr>
            <w:r>
              <w:rPr>
                <w:rFonts w:hint="eastAsia" w:ascii="宋体" w:hAnsi="宋体"/>
                <w:bCs/>
                <w:sz w:val="24"/>
              </w:rPr>
              <w:t>以及电力工程建设项目安全生产标准化规范及工程建设标准强制性条等（国家、行业颁发的相关安全生产法规、条例）、</w:t>
            </w:r>
            <w:r>
              <w:rPr>
                <w:rFonts w:hint="eastAsia" w:ascii="宋体" w:hAnsi="宋体"/>
                <w:color w:val="000000"/>
                <w:sz w:val="24"/>
              </w:rPr>
              <w:t>公司安全生产标准化体系及其他安全生产管理规章制度</w:t>
            </w:r>
            <w:r>
              <w:rPr>
                <w:rFonts w:hint="eastAsia" w:ascii="宋体" w:hAnsi="宋体"/>
                <w:sz w:val="24"/>
              </w:rPr>
              <w:t>和</w:t>
            </w:r>
            <w:r>
              <w:rPr>
                <w:rFonts w:hint="eastAsia" w:ascii="宋体" w:hAnsi="宋体"/>
                <w:color w:val="000000"/>
                <w:sz w:val="24"/>
              </w:rPr>
              <w:t>公司</w:t>
            </w:r>
            <w:r>
              <w:rPr>
                <w:rFonts w:hint="eastAsia" w:ascii="宋体" w:hAnsi="宋体"/>
                <w:sz w:val="24"/>
              </w:rPr>
              <w:t>监理手册(基本册、分册)等。</w:t>
            </w:r>
          </w:p>
          <w:p>
            <w:pPr>
              <w:spacing w:line="276" w:lineRule="auto"/>
              <w:ind w:firstLine="420" w:firstLineChars="200"/>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jc w:val="center"/>
        </w:trPr>
        <w:tc>
          <w:tcPr>
            <w:tcW w:w="9391" w:type="dxa"/>
            <w:gridSpan w:val="2"/>
            <w:tcMar>
              <w:top w:w="0" w:type="dxa"/>
              <w:left w:w="85" w:type="dxa"/>
              <w:bottom w:w="0" w:type="dxa"/>
              <w:right w:w="85" w:type="dxa"/>
            </w:tcMar>
            <w:vAlign w:val="center"/>
          </w:tcPr>
          <w:p>
            <w:pPr>
              <w:numPr>
                <w:ilvl w:val="0"/>
                <w:numId w:val="3"/>
              </w:numPr>
              <w:spacing w:line="480" w:lineRule="auto"/>
              <w:rPr>
                <w:sz w:val="28"/>
                <w:szCs w:val="21"/>
              </w:rPr>
            </w:pPr>
            <w:r>
              <w:rPr>
                <w:rFonts w:hint="eastAsia"/>
                <w:b/>
                <w:sz w:val="28"/>
                <w:szCs w:val="21"/>
              </w:rPr>
              <w:t>安全交底内容</w:t>
            </w:r>
          </w:p>
          <w:p>
            <w:pPr>
              <w:numPr>
                <w:ilvl w:val="0"/>
                <w:numId w:val="4"/>
              </w:numPr>
              <w:spacing w:line="276" w:lineRule="auto"/>
              <w:rPr>
                <w:rFonts w:hint="eastAsia" w:ascii="宋体" w:hAnsi="宋体"/>
                <w:color w:val="000000"/>
                <w:sz w:val="24"/>
              </w:rPr>
            </w:pPr>
            <w:r>
              <w:rPr>
                <w:rFonts w:hint="eastAsia"/>
                <w:sz w:val="24"/>
              </w:rPr>
              <w:t>工程开工前，施工单位应针对本工程项目特点编制专项安全施工技术方案（措施），经公司技术负责人审批后，报送监理单位审批签章。其中包含：安全施工组织设计、</w:t>
            </w:r>
            <w:r>
              <w:rPr>
                <w:rFonts w:ascii="宋体" w:hAnsi="宋体"/>
                <w:color w:val="000000"/>
                <w:sz w:val="24"/>
              </w:rPr>
              <w:t>施工现场平面布置图</w:t>
            </w:r>
            <w:r>
              <w:rPr>
                <w:rFonts w:hint="eastAsia" w:ascii="宋体" w:hAnsi="宋体"/>
                <w:color w:val="000000"/>
                <w:sz w:val="24"/>
              </w:rPr>
              <w:t>、</w:t>
            </w:r>
            <w:r>
              <w:rPr>
                <w:rFonts w:hint="eastAsia"/>
                <w:sz w:val="24"/>
              </w:rPr>
              <w:t>安全防护方案、临时用电施工组织设计、脚手架工程施工方案、卸料平台施工方案、模板工程施工方案、</w:t>
            </w:r>
            <w:r>
              <w:rPr>
                <w:rFonts w:ascii="宋体" w:hAnsi="宋体"/>
                <w:color w:val="000000"/>
                <w:sz w:val="24"/>
              </w:rPr>
              <w:t>基坑支护方案与土方开挖工程和降水工程的施工方案</w:t>
            </w:r>
            <w:r>
              <w:rPr>
                <w:rFonts w:hint="eastAsia" w:ascii="宋体" w:hAnsi="宋体"/>
                <w:color w:val="000000"/>
                <w:sz w:val="24"/>
              </w:rPr>
              <w:t>、</w:t>
            </w:r>
            <w:r>
              <w:rPr>
                <w:rFonts w:ascii="宋体" w:hAnsi="宋体"/>
                <w:color w:val="000000"/>
                <w:sz w:val="24"/>
              </w:rPr>
              <w:t>起重吊装作业方案</w:t>
            </w:r>
            <w:r>
              <w:rPr>
                <w:rFonts w:hint="eastAsia" w:ascii="宋体" w:hAnsi="宋体"/>
                <w:color w:val="000000"/>
                <w:sz w:val="24"/>
              </w:rPr>
              <w:t>、</w:t>
            </w:r>
            <w:r>
              <w:rPr>
                <w:rFonts w:hint="eastAsia"/>
                <w:sz w:val="24"/>
              </w:rPr>
              <w:t>塔吊安拆施工方案、物料提升机安拆施工方案、外用施工电梯及其它垂直运输设备的安装和拆卸、起重机械设备事故应急救援预案、多塔作业防碰撞施工方案、应急救援预案等。</w:t>
            </w:r>
            <w:r>
              <w:rPr>
                <w:rFonts w:ascii="宋体" w:hAnsi="宋体"/>
                <w:color w:val="000000"/>
                <w:sz w:val="24"/>
              </w:rPr>
              <w:t>内容既要全面又要有针对性，并经过施工企业技术负责人审批，加盖单位公章后报监理处审查，同意后方可实施。对专业性较强的施工项目，应单独编制专项安全施工组织设计，安全措施要全面，要有针对性，在施工前必须落实。</w:t>
            </w:r>
          </w:p>
          <w:p>
            <w:pPr>
              <w:numPr>
                <w:ilvl w:val="0"/>
                <w:numId w:val="4"/>
              </w:numPr>
              <w:spacing w:line="276" w:lineRule="auto"/>
              <w:rPr>
                <w:sz w:val="24"/>
              </w:rPr>
            </w:pPr>
            <w:r>
              <w:rPr>
                <w:rFonts w:hint="eastAsia"/>
                <w:sz w:val="24"/>
              </w:rPr>
              <w:t>施工单位必须在施工现场建立“安全生产保证体系”，制定“安全生产责任制”和“安全管理目标”，责任层层落实到人，配备安全专职管理人员，全面履行安全生产责任。</w:t>
            </w:r>
            <w:r>
              <w:rPr>
                <w:sz w:val="24"/>
              </w:rPr>
              <w:t>要求施工单位建立建全安全生产责任制，并将目标分解到班组、个人。各班组、个人必须严格执行，在经济承包中必须有安全生产指标，并制定各工种安全技术操作规程。按规定配备专职安全员，管理人员安全责任制考核必须合格。</w:t>
            </w:r>
          </w:p>
          <w:p>
            <w:pPr>
              <w:numPr>
                <w:ilvl w:val="0"/>
                <w:numId w:val="4"/>
              </w:numPr>
              <w:spacing w:line="276" w:lineRule="auto"/>
              <w:rPr>
                <w:rFonts w:hint="eastAsia" w:ascii="宋体" w:hAnsi="宋体"/>
                <w:color w:val="000000"/>
                <w:sz w:val="24"/>
              </w:rPr>
            </w:pPr>
            <w:r>
              <w:rPr>
                <w:rFonts w:ascii="宋体" w:hAnsi="宋体"/>
                <w:color w:val="000000"/>
                <w:sz w:val="24"/>
              </w:rPr>
              <w:t>施工项目部必须制定安全管理目标（伤亡控制指标和安全达标、文明施工目标），</w:t>
            </w:r>
            <w:r>
              <w:rPr>
                <w:sz w:val="24"/>
              </w:rPr>
              <w:t>并进行安全责任目标分解</w:t>
            </w:r>
            <w:r>
              <w:rPr>
                <w:rFonts w:ascii="宋体" w:hAnsi="宋体"/>
                <w:color w:val="000000"/>
                <w:sz w:val="24"/>
              </w:rPr>
              <w:t>，制定具体的责任目标考核规定，考核办法必须落实到实处。</w:t>
            </w:r>
          </w:p>
          <w:p>
            <w:pPr>
              <w:numPr>
                <w:ilvl w:val="0"/>
                <w:numId w:val="4"/>
              </w:numPr>
              <w:spacing w:line="276" w:lineRule="auto"/>
              <w:rPr>
                <w:rFonts w:hint="eastAsia" w:ascii="宋体" w:hAnsi="宋体"/>
                <w:color w:val="000000"/>
                <w:sz w:val="24"/>
              </w:rPr>
            </w:pPr>
            <w:r>
              <w:rPr>
                <w:rFonts w:ascii="宋体" w:hAnsi="宋体"/>
                <w:color w:val="000000"/>
                <w:sz w:val="24"/>
              </w:rPr>
              <w:t>对分部（分项）工程必须进行安全技术交底，交底的针对性要强，要全面，并履行签字手续。</w:t>
            </w:r>
          </w:p>
          <w:p>
            <w:pPr>
              <w:numPr>
                <w:ilvl w:val="0"/>
                <w:numId w:val="4"/>
              </w:numPr>
              <w:spacing w:line="276" w:lineRule="auto"/>
              <w:rPr>
                <w:rFonts w:hint="eastAsia" w:ascii="宋体" w:hAnsi="宋体"/>
                <w:color w:val="000000"/>
                <w:sz w:val="24"/>
              </w:rPr>
            </w:pPr>
            <w:r>
              <w:rPr>
                <w:rFonts w:hint="eastAsia"/>
                <w:sz w:val="24"/>
              </w:rPr>
              <w:t>施工临时用电须采用“三相五线制”，做到“三级配电二级保护”和“一机一闸一漏一箱”，使用标准铁制配电箱，杜绝工地临时用电乱拉乱接的违章现象。外脚手架应采用双排钢管搭设并挂设阻燃密目式安全钢，严禁钢、竹混搭或全竹脚手架搭设，做好“三宝”、“四口”、“五临边”的使用和防护工作，杜绝安全事故的发生。</w:t>
            </w:r>
          </w:p>
          <w:p>
            <w:pPr>
              <w:numPr>
                <w:ilvl w:val="0"/>
                <w:numId w:val="4"/>
              </w:numPr>
              <w:spacing w:line="276" w:lineRule="auto"/>
              <w:rPr>
                <w:rFonts w:hint="eastAsia" w:ascii="宋体" w:hAnsi="宋体"/>
                <w:color w:val="000000"/>
                <w:sz w:val="24"/>
              </w:rPr>
            </w:pPr>
            <w:r>
              <w:rPr>
                <w:sz w:val="24"/>
              </w:rPr>
              <w:t>施工单位必须替工人办理意外伤害保险</w:t>
            </w:r>
            <w:r>
              <w:rPr>
                <w:rFonts w:ascii="宋体" w:hAnsi="宋体"/>
                <w:color w:val="000000"/>
                <w:sz w:val="24"/>
              </w:rPr>
              <w:t>。意外伤害保险费由施工单位支付。实行施工总承包的，由总承包单位支付意外伤害保险费。意外伤害保险期限自建设工程开工之日起至竣工验收合格止。　</w:t>
            </w:r>
          </w:p>
          <w:p>
            <w:pPr>
              <w:numPr>
                <w:ilvl w:val="0"/>
                <w:numId w:val="4"/>
              </w:numPr>
              <w:spacing w:line="276" w:lineRule="auto"/>
              <w:rPr>
                <w:rFonts w:hint="eastAsia" w:ascii="宋体" w:hAnsi="宋体"/>
                <w:color w:val="000000"/>
                <w:sz w:val="24"/>
              </w:rPr>
            </w:pPr>
            <w:r>
              <w:rPr>
                <w:rFonts w:ascii="宋体" w:hAnsi="宋体"/>
                <w:color w:val="000000"/>
                <w:sz w:val="24"/>
              </w:rPr>
              <w:t>安装、拆卸施工起重机械，必须由具有相应资质的单位承担。在安装和拆卸前，应当编制安装和拆装方案、制定安全施工措施，并安排专业技术人员现场监督。安装完毕后，安装单位应当自检，并出具自检合格证明、安全使用说明，办理验收手续并签字。在资料齐全且验收合格后，报市里具有专业资质的检验检测部门进行检验，检验合格且出具安全合格证明文件经监理确认后方可使用。</w:t>
            </w:r>
          </w:p>
          <w:p>
            <w:pPr>
              <w:numPr>
                <w:ilvl w:val="0"/>
                <w:numId w:val="4"/>
              </w:numPr>
              <w:spacing w:line="276" w:lineRule="auto"/>
              <w:rPr>
                <w:rFonts w:hint="eastAsia" w:ascii="宋体" w:hAnsi="宋体"/>
                <w:color w:val="000000"/>
                <w:sz w:val="24"/>
              </w:rPr>
            </w:pPr>
            <w:r>
              <w:rPr>
                <w:rFonts w:ascii="宋体" w:hAnsi="宋体"/>
                <w:color w:val="000000"/>
                <w:sz w:val="24"/>
              </w:rPr>
              <w:t>本工程的项目负责人应督促项目部人员及工人严格按照公司里制定的安全生产责任制度、安全生产培训制度、安全生产规章制度、和公司里制定的操作规程执行。项目负责人应取得相应的执业资格，并对建设项目的安全施工负责，确保安全生产费用的有效使用，并根据本工程的特点组织制定安全施工措施，消除安全事故隐患，及时、如实报告生产安全事故。</w:t>
            </w:r>
          </w:p>
          <w:p>
            <w:pPr>
              <w:numPr>
                <w:ilvl w:val="0"/>
                <w:numId w:val="4"/>
              </w:numPr>
              <w:spacing w:line="276" w:lineRule="auto"/>
              <w:rPr>
                <w:rFonts w:hint="eastAsia" w:ascii="宋体" w:hAnsi="宋体"/>
                <w:color w:val="000000"/>
                <w:sz w:val="24"/>
              </w:rPr>
            </w:pPr>
            <w:r>
              <w:rPr>
                <w:rFonts w:ascii="宋体" w:hAnsi="宋体"/>
                <w:color w:val="000000"/>
                <w:sz w:val="24"/>
              </w:rPr>
              <w:t>专职安全生产管理人员负责对安全生产进行现场监督检查，发现安全事故隐患，应当及时向项目负责人和安全生产管理机构报告，对违章指挥、违章操作的，应当立即制止。</w:t>
            </w:r>
          </w:p>
          <w:p>
            <w:pPr>
              <w:numPr>
                <w:ilvl w:val="0"/>
                <w:numId w:val="4"/>
              </w:numPr>
              <w:spacing w:line="276" w:lineRule="auto"/>
              <w:rPr>
                <w:rFonts w:hint="eastAsia" w:ascii="宋体" w:hAnsi="宋体"/>
                <w:color w:val="000000"/>
                <w:sz w:val="24"/>
              </w:rPr>
            </w:pPr>
            <w:r>
              <w:rPr>
                <w:rFonts w:ascii="宋体" w:hAnsi="宋体"/>
                <w:color w:val="000000"/>
                <w:sz w:val="24"/>
              </w:rPr>
              <w:t>本工程如实行</w:t>
            </w:r>
            <w:r>
              <w:rPr>
                <w:rFonts w:hint="eastAsia" w:ascii="宋体" w:hAnsi="宋体"/>
                <w:color w:val="000000"/>
                <w:sz w:val="24"/>
              </w:rPr>
              <w:t>施工</w:t>
            </w:r>
            <w:r>
              <w:rPr>
                <w:rFonts w:ascii="宋体" w:hAnsi="宋体"/>
                <w:color w:val="000000"/>
                <w:sz w:val="24"/>
              </w:rPr>
              <w:t>总承包的，由总承包单位对施工现场的安全生产负总责。总承包单位依法将建设工程分包给其他单位的，分包合同中应当明确各自的安全生产方面的权利、义务。总承包单位和分包单位对分包工程的安全生产承担连带责任。</w:t>
            </w:r>
          </w:p>
          <w:p>
            <w:pPr>
              <w:numPr>
                <w:ilvl w:val="0"/>
                <w:numId w:val="4"/>
              </w:numPr>
              <w:spacing w:line="276" w:lineRule="auto"/>
              <w:rPr>
                <w:sz w:val="24"/>
              </w:rPr>
            </w:pPr>
            <w:r>
              <w:rPr>
                <w:rFonts w:hint="eastAsia"/>
                <w:sz w:val="24"/>
              </w:rPr>
              <w:t>施工单位应于各施工工序作业前，必须对各班组进行安全技术交底，交底和被交底人必须签名确认。</w:t>
            </w:r>
            <w:r>
              <w:rPr>
                <w:rFonts w:hint="eastAsia" w:ascii="宋体" w:hAnsi="宋体"/>
                <w:color w:val="000000"/>
                <w:sz w:val="24"/>
              </w:rPr>
              <w:t>对特种作业人员</w:t>
            </w:r>
            <w:r>
              <w:rPr>
                <w:rFonts w:hint="eastAsia"/>
                <w:sz w:val="24"/>
              </w:rPr>
              <w:t>（含</w:t>
            </w:r>
            <w:r>
              <w:rPr>
                <w:sz w:val="24"/>
              </w:rPr>
              <w:t>垂直运输机械作业人员、安装拆卸工、起重作业人员、起重信号工、</w:t>
            </w:r>
            <w:r>
              <w:rPr>
                <w:rFonts w:hint="eastAsia"/>
                <w:sz w:val="24"/>
              </w:rPr>
              <w:t>司索、</w:t>
            </w:r>
            <w:r>
              <w:rPr>
                <w:sz w:val="24"/>
              </w:rPr>
              <w:t>登高架设作业人员</w:t>
            </w:r>
            <w:r>
              <w:rPr>
                <w:rFonts w:hint="eastAsia"/>
                <w:sz w:val="24"/>
              </w:rPr>
              <w:t>、电工、焊工</w:t>
            </w:r>
            <w:r>
              <w:rPr>
                <w:sz w:val="24"/>
              </w:rPr>
              <w:t>等特种作业人员</w:t>
            </w:r>
            <w:r>
              <w:rPr>
                <w:rFonts w:hint="eastAsia"/>
                <w:sz w:val="24"/>
              </w:rPr>
              <w:t>等）</w:t>
            </w:r>
            <w:r>
              <w:rPr>
                <w:sz w:val="24"/>
              </w:rPr>
              <w:t>必须按照国家有关规定经过专门的安全作业培训，并取得特种作业操作资格证书后，方可上岗作业。</w:t>
            </w:r>
            <w:r>
              <w:rPr>
                <w:rFonts w:hint="eastAsia"/>
                <w:sz w:val="24"/>
              </w:rPr>
              <w:t>特种作业人员应登记造册；对新进场的施工作业人员，必须做到到“三级”安全教育并记录入卡。</w:t>
            </w:r>
          </w:p>
          <w:p>
            <w:pPr>
              <w:numPr>
                <w:ilvl w:val="0"/>
                <w:numId w:val="4"/>
              </w:numPr>
              <w:spacing w:line="276" w:lineRule="auto"/>
              <w:rPr>
                <w:rFonts w:hint="eastAsia" w:ascii="宋体" w:hAnsi="宋体"/>
                <w:color w:val="000000"/>
                <w:sz w:val="24"/>
              </w:rPr>
            </w:pPr>
            <w:r>
              <w:rPr>
                <w:rFonts w:ascii="宋体" w:hAnsi="宋体"/>
                <w:color w:val="000000"/>
                <w:sz w:val="24"/>
              </w:rPr>
              <w:t>建设工程施工前，施工单位负责项目管理的技术人员应当对有关安全施工的技术要求向施工作业班组、作业人员作出详细说明，双方签字确认。</w:t>
            </w:r>
          </w:p>
          <w:p>
            <w:pPr>
              <w:numPr>
                <w:ilvl w:val="0"/>
                <w:numId w:val="4"/>
              </w:numPr>
              <w:spacing w:line="276" w:lineRule="auto"/>
              <w:rPr>
                <w:rFonts w:hint="eastAsia" w:ascii="宋体" w:hAnsi="宋体"/>
                <w:color w:val="000000"/>
                <w:sz w:val="24"/>
              </w:rPr>
            </w:pPr>
            <w:r>
              <w:rPr>
                <w:rFonts w:ascii="宋体" w:hAnsi="宋体"/>
                <w:color w:val="000000"/>
                <w:sz w:val="24"/>
              </w:rPr>
              <w:t>施工单位应当在施工现场入口处、施工起重机械、临时用电设施、脚手架、出入通道口、电梯井口、孔洞口、基坑边沿等处设置明显的安全警示标志。安全警示标志必须符合国家标准。施工单位应当根据不同施工阶段和周围环境及季节、气候的变化，在施工现场采取相应的安全施工措施。施工现场暂时停止施工的，施工单位应当做好现场防护，所需费用由责任方承担，或者按照合同约定执行。</w:t>
            </w:r>
          </w:p>
          <w:p>
            <w:pPr>
              <w:numPr>
                <w:ilvl w:val="0"/>
                <w:numId w:val="4"/>
              </w:numPr>
              <w:spacing w:line="276" w:lineRule="auto"/>
              <w:rPr>
                <w:sz w:val="24"/>
              </w:rPr>
            </w:pPr>
            <w:r>
              <w:rPr>
                <w:rFonts w:ascii="宋体" w:hAnsi="宋体"/>
                <w:color w:val="000000"/>
                <w:sz w:val="24"/>
              </w:rPr>
              <w:t>施工单位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numPr>
                <w:ilvl w:val="0"/>
                <w:numId w:val="4"/>
              </w:numPr>
              <w:spacing w:line="276" w:lineRule="auto"/>
              <w:rPr>
                <w:sz w:val="24"/>
              </w:rPr>
            </w:pPr>
            <w:r>
              <w:rPr>
                <w:rFonts w:hint="eastAsia"/>
                <w:sz w:val="24"/>
              </w:rPr>
              <w:t>加强施工现场的文明施工及现场防火管理，对进入施工现场的各类建筑材料应做到堆放有序，</w:t>
            </w:r>
            <w:r>
              <w:rPr>
                <w:rFonts w:hint="eastAsia" w:ascii="宋体" w:hAnsi="宋体"/>
                <w:color w:val="000000"/>
                <w:sz w:val="24"/>
              </w:rPr>
              <w:t>并设置标示牌</w:t>
            </w:r>
            <w:r>
              <w:rPr>
                <w:rFonts w:hint="eastAsia"/>
                <w:sz w:val="24"/>
              </w:rPr>
              <w:t>，保证场地道路通畅，对工地上存放的易燃易爆物品应严格管理，并设置临时消防设施和配备足够的消防器材。</w:t>
            </w:r>
          </w:p>
          <w:p>
            <w:pPr>
              <w:numPr>
                <w:ilvl w:val="0"/>
                <w:numId w:val="4"/>
              </w:numPr>
              <w:spacing w:line="276" w:lineRule="auto"/>
              <w:rPr>
                <w:rFonts w:hint="eastAsia" w:ascii="宋体" w:hAnsi="宋体"/>
                <w:color w:val="000000"/>
                <w:sz w:val="24"/>
              </w:rPr>
            </w:pPr>
            <w:r>
              <w:rPr>
                <w:rFonts w:ascii="宋体" w:hAnsi="宋体"/>
                <w:color w:val="000000"/>
                <w:sz w:val="24"/>
              </w:rPr>
              <w:t>施工单位应当向作业人员提供安全防护用具和安全防护服装，并书面告知危险岗位的操作规程和违章操作的危害。作业人员有权对施工现场的作业条件、作业程序和作业方式中存在的安全问题提出批评、检举和控告，有权拒绝违章指挥和强令冒险作业。在施工中发生危及人身安全的紧急情况时，作业人员有权立即停止作业或者在采取必要的应急措施后撤离危险区域。作业人员应当遵守安全施工的强制性标准、规章制度和操作规程，正确使用安全防护用具、机械</w:t>
            </w:r>
            <w:r>
              <w:rPr>
                <w:rFonts w:hint="eastAsia" w:ascii="宋体" w:hAnsi="宋体"/>
                <w:color w:val="000000"/>
                <w:sz w:val="24"/>
              </w:rPr>
              <w:t>设设备</w:t>
            </w:r>
            <w:r>
              <w:rPr>
                <w:rFonts w:ascii="宋体" w:hAnsi="宋体"/>
                <w:color w:val="000000"/>
                <w:sz w:val="24"/>
              </w:rPr>
              <w:t>等。</w:t>
            </w:r>
          </w:p>
          <w:p>
            <w:pPr>
              <w:numPr>
                <w:ilvl w:val="0"/>
                <w:numId w:val="4"/>
              </w:numPr>
              <w:spacing w:line="276" w:lineRule="auto"/>
              <w:rPr>
                <w:rFonts w:hint="eastAsia" w:ascii="宋体" w:hAnsi="宋体"/>
                <w:color w:val="000000"/>
                <w:sz w:val="24"/>
              </w:rPr>
            </w:pPr>
            <w:r>
              <w:rPr>
                <w:rFonts w:ascii="宋体" w:hAnsi="宋体"/>
                <w:color w:val="000000"/>
                <w:sz w:val="24"/>
              </w:rPr>
              <w:t>施工单位采购、租赁的安全防护用具、机械设备、施工机具及配件</w:t>
            </w:r>
            <w:r>
              <w:rPr>
                <w:rFonts w:hint="eastAsia" w:ascii="宋体" w:hAnsi="宋体"/>
                <w:color w:val="000000"/>
                <w:sz w:val="24"/>
              </w:rPr>
              <w:t>（含</w:t>
            </w:r>
            <w:r>
              <w:rPr>
                <w:rFonts w:hint="eastAsia"/>
                <w:sz w:val="24"/>
              </w:rPr>
              <w:t>物料提升机、塔吊、施工电梯、</w:t>
            </w:r>
            <w:r>
              <w:rPr>
                <w:rFonts w:hint="eastAsia" w:ascii="宋体" w:hAnsi="宋体"/>
                <w:color w:val="000000"/>
                <w:sz w:val="24"/>
              </w:rPr>
              <w:t>脚手架材料</w:t>
            </w:r>
            <w:r>
              <w:rPr>
                <w:rFonts w:hint="eastAsia"/>
                <w:sz w:val="24"/>
              </w:rPr>
              <w:t>、安全网等</w:t>
            </w:r>
            <w:r>
              <w:rPr>
                <w:rFonts w:hint="eastAsia" w:ascii="宋体" w:hAnsi="宋体"/>
                <w:color w:val="000000"/>
                <w:sz w:val="24"/>
              </w:rPr>
              <w:t>）</w:t>
            </w:r>
            <w:r>
              <w:rPr>
                <w:rFonts w:hint="eastAsia"/>
                <w:sz w:val="24"/>
              </w:rPr>
              <w:t>必须经过有关部门检测合格并出具验收报告后方可投入使用。</w:t>
            </w:r>
            <w:r>
              <w:rPr>
                <w:rFonts w:ascii="宋体" w:hAnsi="宋体"/>
                <w:color w:val="000000"/>
                <w:sz w:val="24"/>
              </w:rPr>
              <w:t>施工现场的安全防护用具、机械设备、施工机具及配件必须由专人管理，定期进行检查、维修和保养，建立相应的资料档案，并按照国家有关规定及时报废。</w:t>
            </w:r>
          </w:p>
          <w:p>
            <w:pPr>
              <w:numPr>
                <w:ilvl w:val="0"/>
                <w:numId w:val="4"/>
              </w:numPr>
              <w:spacing w:line="276" w:lineRule="auto"/>
              <w:rPr>
                <w:rFonts w:hint="eastAsia" w:ascii="宋体" w:hAnsi="宋体"/>
                <w:color w:val="000000"/>
                <w:sz w:val="24"/>
              </w:rPr>
            </w:pPr>
            <w:r>
              <w:rPr>
                <w:rFonts w:ascii="宋体" w:hAnsi="宋体"/>
                <w:color w:val="000000"/>
                <w:sz w:val="24"/>
              </w:rPr>
              <w:t>施工单位的主要负责人、项目负责人、专职安全生产管理人员应当经建设行政主管部门或者其他有关部门考核合格后方可任职。施工单位应当对管理人员和作业人员每年至少进行一次安全生产教育培训，其教育培训情况记入个人工作档案。安全生产教育培训考核不合格的人员，不得上岗。</w:t>
            </w:r>
          </w:p>
          <w:p>
            <w:pPr>
              <w:numPr>
                <w:ilvl w:val="0"/>
                <w:numId w:val="4"/>
              </w:numPr>
              <w:spacing w:line="276" w:lineRule="auto"/>
              <w:rPr>
                <w:sz w:val="24"/>
              </w:rPr>
            </w:pPr>
            <w:r>
              <w:rPr>
                <w:sz w:val="24"/>
              </w:rPr>
              <w:t>作业人员进入新的岗位或者新的施工现场前，应当接受安全生产教育培训。未经教育培训或者教育培训考核不合格的人员，不得上岗作业。　　.</w:t>
            </w:r>
          </w:p>
          <w:p>
            <w:pPr>
              <w:numPr>
                <w:ilvl w:val="0"/>
                <w:numId w:val="4"/>
              </w:numPr>
              <w:spacing w:line="276" w:lineRule="auto"/>
              <w:rPr>
                <w:sz w:val="24"/>
              </w:rPr>
            </w:pPr>
            <w:r>
              <w:rPr>
                <w:rFonts w:hint="eastAsia"/>
                <w:sz w:val="24"/>
              </w:rPr>
              <w:t>严格按照《</w:t>
            </w:r>
            <w:r>
              <w:rPr>
                <w:rFonts w:hint="eastAsia" w:ascii="宋体" w:hAnsi="宋体"/>
                <w:color w:val="000000"/>
                <w:sz w:val="24"/>
              </w:rPr>
              <w:t>建筑施工检查标准</w:t>
            </w:r>
            <w:r>
              <w:rPr>
                <w:rFonts w:hint="eastAsia"/>
                <w:sz w:val="24"/>
              </w:rPr>
              <w:t>》（JGJ59—99）和河北省建设工程安全生产文明施工标准化之要求做安全管理工作，应针对不同的施工阶段对施工现场作安全检查自评分，做好各阶段的安全评价并及时向监理申报。</w:t>
            </w:r>
          </w:p>
          <w:p>
            <w:pPr>
              <w:numPr>
                <w:ilvl w:val="0"/>
                <w:numId w:val="4"/>
              </w:numPr>
              <w:spacing w:line="276" w:lineRule="auto"/>
              <w:rPr>
                <w:sz w:val="24"/>
              </w:rPr>
            </w:pPr>
            <w:r>
              <w:rPr>
                <w:rFonts w:hint="eastAsia" w:ascii="宋体" w:hAnsi="宋体"/>
                <w:color w:val="000000"/>
                <w:sz w:val="24"/>
              </w:rPr>
              <w:t>施工安全管理资料必须根据施工各阶段及分项</w:t>
            </w:r>
            <w:r>
              <w:rPr>
                <w:rFonts w:hint="eastAsia"/>
                <w:sz w:val="24"/>
              </w:rPr>
              <w:t>、分部工程安全管理的需要并与施工进度同步及时形成，由专职资料员收集、整理、立卷、归档。</w:t>
            </w:r>
          </w:p>
          <w:p>
            <w:pPr>
              <w:numPr>
                <w:ilvl w:val="0"/>
                <w:numId w:val="4"/>
              </w:numPr>
              <w:spacing w:line="276" w:lineRule="auto"/>
              <w:rPr>
                <w:sz w:val="24"/>
              </w:rPr>
            </w:pPr>
            <w:r>
              <w:rPr>
                <w:rFonts w:hint="eastAsia" w:ascii="宋体" w:hAnsi="宋体"/>
                <w:color w:val="000000"/>
                <w:sz w:val="24"/>
              </w:rPr>
              <w:t>现场若出现安全事故</w:t>
            </w:r>
            <w:r>
              <w:rPr>
                <w:rFonts w:hint="eastAsia"/>
                <w:sz w:val="24"/>
              </w:rPr>
              <w:t>，施工单位应按规定时间上报，监理工程师接到报告后将协助施工单位做好事故的善后处理工作。</w:t>
            </w:r>
          </w:p>
          <w:p>
            <w:pPr>
              <w:numPr>
                <w:ilvl w:val="0"/>
                <w:numId w:val="4"/>
              </w:numPr>
              <w:spacing w:line="276" w:lineRule="auto"/>
              <w:rPr>
                <w:sz w:val="24"/>
                <w:u w:val="single"/>
              </w:rPr>
            </w:pPr>
            <w:r>
              <w:rPr>
                <w:sz w:val="24"/>
              </w:rPr>
              <w:t>请项目部根据有关文件的要求,</w:t>
            </w:r>
            <w:r>
              <w:rPr>
                <w:rFonts w:hint="eastAsia"/>
                <w:sz w:val="24"/>
              </w:rPr>
              <w:t xml:space="preserve"> </w:t>
            </w:r>
            <w:r>
              <w:rPr>
                <w:sz w:val="24"/>
              </w:rPr>
              <w:t>尽快编制好应急救援预案(以防出现重大事故),</w:t>
            </w:r>
            <w:r>
              <w:rPr>
                <w:rFonts w:hint="eastAsia"/>
                <w:sz w:val="24"/>
              </w:rPr>
              <w:t xml:space="preserve"> </w:t>
            </w:r>
            <w:r>
              <w:rPr>
                <w:sz w:val="24"/>
              </w:rPr>
              <w:t>要求组织体系明确、</w:t>
            </w:r>
            <w:r>
              <w:rPr>
                <w:rFonts w:ascii="宋体" w:hAnsi="宋体"/>
                <w:color w:val="000000"/>
                <w:sz w:val="24"/>
              </w:rPr>
              <w:t>就近医院的行驶路线</w:t>
            </w:r>
            <w:r>
              <w:rPr>
                <w:sz w:val="24"/>
              </w:rPr>
              <w:t>、就近医院的联系电话号码、运输车辆及人员等必须落实到位,</w:t>
            </w:r>
            <w:r>
              <w:rPr>
                <w:rFonts w:hint="eastAsia"/>
                <w:sz w:val="24"/>
              </w:rPr>
              <w:t>并确保通讯畅通，</w:t>
            </w:r>
            <w:r>
              <w:rPr>
                <w:sz w:val="24"/>
              </w:rPr>
              <w:t>平时要加强演练。</w:t>
            </w:r>
          </w:p>
          <w:p>
            <w:pPr>
              <w:spacing w:line="276" w:lineRule="auto"/>
              <w:ind w:left="420" w:leftChars="200"/>
              <w:rPr>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jc w:val="center"/>
        </w:trPr>
        <w:tc>
          <w:tcPr>
            <w:tcW w:w="9391" w:type="dxa"/>
            <w:gridSpan w:val="2"/>
            <w:tcMar>
              <w:top w:w="0" w:type="dxa"/>
              <w:left w:w="85" w:type="dxa"/>
              <w:bottom w:w="0" w:type="dxa"/>
              <w:right w:w="85" w:type="dxa"/>
            </w:tcMar>
            <w:vAlign w:val="center"/>
          </w:tcPr>
          <w:p>
            <w:pPr>
              <w:numPr>
                <w:ilvl w:val="0"/>
                <w:numId w:val="3"/>
              </w:numPr>
              <w:spacing w:line="480" w:lineRule="auto"/>
              <w:rPr>
                <w:b/>
                <w:sz w:val="28"/>
                <w:szCs w:val="21"/>
              </w:rPr>
            </w:pPr>
            <w:r>
              <w:rPr>
                <w:rFonts w:hint="eastAsia"/>
                <w:b/>
                <w:sz w:val="28"/>
                <w:szCs w:val="21"/>
              </w:rPr>
              <w:t>职业健康安全管理方案</w:t>
            </w:r>
          </w:p>
          <w:p>
            <w:pPr>
              <w:spacing w:line="276" w:lineRule="auto"/>
              <w:ind w:firstLine="241" w:firstLineChars="100"/>
              <w:rPr>
                <w:rFonts w:ascii="宋体" w:hAnsi="宋体"/>
                <w:b/>
                <w:sz w:val="24"/>
              </w:rPr>
            </w:pPr>
            <w:r>
              <w:rPr>
                <w:rFonts w:hint="eastAsia" w:ascii="宋体" w:hAnsi="宋体"/>
                <w:b/>
                <w:sz w:val="24"/>
              </w:rPr>
              <w:t>（一）、职业健康安全目标和指标</w:t>
            </w:r>
          </w:p>
          <w:p>
            <w:pPr>
              <w:spacing w:line="276" w:lineRule="auto"/>
              <w:ind w:left="210" w:leftChars="100" w:firstLine="117" w:firstLineChars="49"/>
              <w:rPr>
                <w:rFonts w:ascii="宋体"/>
                <w:sz w:val="24"/>
              </w:rPr>
            </w:pPr>
            <w:r>
              <w:rPr>
                <w:rFonts w:hint="eastAsia" w:ascii="宋体"/>
                <w:sz w:val="24"/>
              </w:rPr>
              <w:t>1．全年因公死亡事故率：0％；</w:t>
            </w:r>
          </w:p>
          <w:p>
            <w:pPr>
              <w:spacing w:line="276" w:lineRule="auto"/>
              <w:ind w:left="210" w:leftChars="100" w:firstLine="117" w:firstLineChars="49"/>
              <w:rPr>
                <w:rFonts w:ascii="宋体"/>
                <w:sz w:val="24"/>
              </w:rPr>
            </w:pPr>
            <w:r>
              <w:rPr>
                <w:rFonts w:hint="eastAsia" w:ascii="宋体"/>
                <w:sz w:val="24"/>
              </w:rPr>
              <w:t>2．全年因公重伤事故率：0％；</w:t>
            </w:r>
          </w:p>
          <w:p>
            <w:pPr>
              <w:spacing w:line="276" w:lineRule="auto"/>
              <w:ind w:left="210" w:leftChars="100" w:firstLine="117" w:firstLineChars="49"/>
              <w:rPr>
                <w:rFonts w:ascii="宋体"/>
                <w:sz w:val="24"/>
              </w:rPr>
            </w:pPr>
            <w:r>
              <w:rPr>
                <w:rFonts w:hint="eastAsia" w:ascii="宋体"/>
                <w:sz w:val="24"/>
              </w:rPr>
              <w:t>3．员工安全教育率：100％；</w:t>
            </w:r>
          </w:p>
          <w:p>
            <w:pPr>
              <w:spacing w:line="276" w:lineRule="auto"/>
              <w:ind w:left="210" w:leftChars="100" w:firstLine="117" w:firstLineChars="49"/>
              <w:rPr>
                <w:rFonts w:ascii="宋体"/>
                <w:sz w:val="24"/>
              </w:rPr>
            </w:pPr>
            <w:r>
              <w:rPr>
                <w:rFonts w:hint="eastAsia" w:ascii="宋体"/>
                <w:sz w:val="24"/>
              </w:rPr>
              <w:t>4．火灾、爆炸事故率：0％；</w:t>
            </w:r>
          </w:p>
          <w:p>
            <w:pPr>
              <w:spacing w:line="276" w:lineRule="auto"/>
              <w:ind w:left="210" w:leftChars="100" w:firstLine="117" w:firstLineChars="49"/>
              <w:rPr>
                <w:rFonts w:ascii="宋体"/>
                <w:sz w:val="24"/>
              </w:rPr>
            </w:pPr>
            <w:r>
              <w:rPr>
                <w:rFonts w:hint="eastAsia" w:ascii="宋体"/>
                <w:sz w:val="24"/>
              </w:rPr>
              <w:t>5．杜绝群体性中毒、冻伤、传染病以及职业病的发生。</w:t>
            </w:r>
          </w:p>
          <w:p>
            <w:pPr>
              <w:spacing w:line="480" w:lineRule="auto"/>
              <w:ind w:firstLine="241" w:firstLineChars="100"/>
              <w:rPr>
                <w:rFonts w:ascii="宋体" w:hAnsi="宋体"/>
                <w:b/>
                <w:sz w:val="24"/>
              </w:rPr>
            </w:pPr>
            <w:r>
              <w:rPr>
                <w:rFonts w:hint="eastAsia" w:ascii="宋体" w:hAnsi="宋体"/>
                <w:b/>
                <w:sz w:val="24"/>
              </w:rPr>
              <w:t>（二）职业健康安全辨别与评价：</w:t>
            </w:r>
          </w:p>
          <w:p>
            <w:pPr>
              <w:spacing w:line="276" w:lineRule="auto"/>
              <w:ind w:left="420" w:leftChars="200" w:firstLine="480" w:firstLineChars="200"/>
              <w:rPr>
                <w:rFonts w:ascii="宋体"/>
                <w:sz w:val="24"/>
              </w:rPr>
            </w:pPr>
            <w:r>
              <w:rPr>
                <w:rFonts w:hint="eastAsia" w:ascii="宋体"/>
                <w:sz w:val="24"/>
              </w:rPr>
              <w:t>专家组对本项目现场的危险源进行收集、汇总，并对照相关法律法规和其它要求以及本单位的有关规章、制度，确定重大危险源</w:t>
            </w:r>
          </w:p>
          <w:p>
            <w:pPr>
              <w:spacing w:line="276" w:lineRule="auto"/>
              <w:ind w:left="420" w:leftChars="200" w:firstLine="480" w:firstLineChars="200"/>
              <w:rPr>
                <w:rFonts w:ascii="宋体"/>
                <w:sz w:val="24"/>
              </w:rPr>
            </w:pPr>
          </w:p>
          <w:p>
            <w:pPr>
              <w:spacing w:line="276" w:lineRule="auto"/>
              <w:ind w:left="420" w:leftChars="200" w:firstLine="482" w:firstLineChars="200"/>
              <w:rPr>
                <w:b/>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trHeight w:val="2874" w:hRule="atLeast"/>
          <w:jc w:val="center"/>
        </w:trPr>
        <w:tc>
          <w:tcPr>
            <w:tcW w:w="2829" w:type="dxa"/>
            <w:tcMar>
              <w:top w:w="0" w:type="dxa"/>
              <w:left w:w="85" w:type="dxa"/>
              <w:bottom w:w="0" w:type="dxa"/>
              <w:right w:w="85" w:type="dxa"/>
            </w:tcMar>
            <w:vAlign w:val="center"/>
          </w:tcPr>
          <w:p>
            <w:pPr>
              <w:topLinePunct/>
              <w:snapToGrid w:val="0"/>
              <w:spacing w:before="60" w:after="60"/>
              <w:jc w:val="center"/>
              <w:rPr>
                <w:rFonts w:ascii="宋体" w:hAnsi="宋体"/>
                <w:sz w:val="24"/>
              </w:rPr>
            </w:pPr>
            <w:r>
              <w:rPr>
                <w:rFonts w:hint="eastAsia" w:ascii="宋体" w:hAnsi="宋体"/>
                <w:sz w:val="24"/>
              </w:rPr>
              <w:t>参加人</w:t>
            </w:r>
            <w:r>
              <w:rPr>
                <w:rFonts w:ascii="宋体" w:hAnsi="宋体"/>
                <w:sz w:val="24"/>
              </w:rPr>
              <w:t>（签字）</w:t>
            </w:r>
          </w:p>
        </w:tc>
        <w:tc>
          <w:tcPr>
            <w:tcW w:w="6562" w:type="dxa"/>
            <w:tcMar>
              <w:top w:w="0" w:type="dxa"/>
              <w:left w:w="85" w:type="dxa"/>
              <w:bottom w:w="0" w:type="dxa"/>
              <w:right w:w="85" w:type="dxa"/>
            </w:tcMar>
            <w:vAlign w:val="center"/>
          </w:tcPr>
          <w:p>
            <w:pPr>
              <w:topLinePunct/>
              <w:snapToGrid w:val="0"/>
              <w:spacing w:before="60" w:after="60"/>
              <w:jc w:val="center"/>
              <w:rPr>
                <w:rFonts w:ascii="宋体" w:hAnsi="宋体"/>
                <w:sz w:val="24"/>
              </w:rPr>
            </w:pPr>
          </w:p>
          <w:p>
            <w:pPr>
              <w:topLinePunct/>
              <w:snapToGrid w:val="0"/>
              <w:spacing w:before="60" w:after="60"/>
              <w:jc w:val="center"/>
              <w:rPr>
                <w:rFonts w:ascii="宋体" w:hAnsi="宋体"/>
                <w:sz w:val="24"/>
              </w:rPr>
            </w:pPr>
          </w:p>
          <w:p>
            <w:pPr>
              <w:topLinePunct/>
              <w:snapToGrid w:val="0"/>
              <w:spacing w:before="60" w:after="60"/>
              <w:jc w:val="center"/>
              <w:rPr>
                <w:rFonts w:ascii="宋体" w:hAnsi="宋体"/>
                <w:sz w:val="24"/>
              </w:rPr>
            </w:pPr>
          </w:p>
          <w:p>
            <w:pPr>
              <w:topLinePunct/>
              <w:snapToGrid w:val="0"/>
              <w:spacing w:before="60" w:after="60"/>
              <w:jc w:val="center"/>
              <w:rPr>
                <w:rFonts w:ascii="宋体" w:hAnsi="宋体"/>
                <w:sz w:val="24"/>
              </w:rPr>
            </w:pPr>
          </w:p>
          <w:p>
            <w:pPr>
              <w:topLinePunct/>
              <w:snapToGrid w:val="0"/>
              <w:spacing w:before="60" w:after="60"/>
              <w:jc w:val="center"/>
              <w:rPr>
                <w:rFonts w:ascii="宋体" w:hAnsi="宋体"/>
                <w:sz w:val="24"/>
              </w:rPr>
            </w:pPr>
          </w:p>
          <w:p>
            <w:pPr>
              <w:topLinePunct/>
              <w:snapToGrid w:val="0"/>
              <w:spacing w:before="60" w:after="60"/>
              <w:jc w:val="center"/>
              <w:rPr>
                <w:rFonts w:ascii="宋体" w:hAnsi="宋体"/>
                <w:sz w:val="24"/>
              </w:rPr>
            </w:pPr>
          </w:p>
          <w:p>
            <w:pPr>
              <w:topLinePunct/>
              <w:snapToGrid w:val="0"/>
              <w:spacing w:before="60" w:after="60"/>
              <w:jc w:val="both"/>
              <w:rPr>
                <w:rFonts w:ascii="宋体" w:hAnsi="宋体"/>
                <w:sz w:val="24"/>
              </w:rPr>
            </w:pPr>
          </w:p>
        </w:tc>
      </w:tr>
    </w:tbl>
    <w:p/>
    <w:sectPr>
      <w:headerReference r:id="rId3" w:type="default"/>
      <w:footerReference r:id="rId4" w:type="default"/>
      <w:pgSz w:w="11906" w:h="16838"/>
      <w:pgMar w:top="1440" w:right="1077"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1171252"/>
    </w:sdtPr>
    <w:sdtContent>
      <w:sdt>
        <w:sdtPr>
          <w:id w:val="1728636285"/>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0"/>
      <w:rPr>
        <w:kern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DE611C"/>
    <w:multiLevelType w:val="multilevel"/>
    <w:tmpl w:val="13DE611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4A237022"/>
    <w:multiLevelType w:val="multilevel"/>
    <w:tmpl w:val="4A23702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5B353997"/>
    <w:multiLevelType w:val="multilevel"/>
    <w:tmpl w:val="5B353997"/>
    <w:lvl w:ilvl="0" w:tentative="0">
      <w:start w:val="1"/>
      <w:numFmt w:val="decimal"/>
      <w:lvlText w:val="%1."/>
      <w:lvlJc w:val="left"/>
      <w:pPr>
        <w:ind w:left="840" w:hanging="420"/>
      </w:pPr>
      <w:rPr>
        <w:rFonts w:hint="eastAsia"/>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78EF35AB"/>
    <w:multiLevelType w:val="multilevel"/>
    <w:tmpl w:val="78EF35A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4ZDk1MjU3N2U1YzQ5ZDYzYzU0ZDUwNGMyOGVmODIifQ=="/>
  </w:docVars>
  <w:rsids>
    <w:rsidRoot w:val="00E759EB"/>
    <w:rsid w:val="00196BB3"/>
    <w:rsid w:val="00214967"/>
    <w:rsid w:val="002A712B"/>
    <w:rsid w:val="0038784A"/>
    <w:rsid w:val="00467C26"/>
    <w:rsid w:val="004B4C5D"/>
    <w:rsid w:val="005E1FE3"/>
    <w:rsid w:val="007C414B"/>
    <w:rsid w:val="00873448"/>
    <w:rsid w:val="008B3D0A"/>
    <w:rsid w:val="00A4089D"/>
    <w:rsid w:val="00AD7644"/>
    <w:rsid w:val="00AF7D99"/>
    <w:rsid w:val="00C65B93"/>
    <w:rsid w:val="00D62C2B"/>
    <w:rsid w:val="00DC13D2"/>
    <w:rsid w:val="00E370BF"/>
    <w:rsid w:val="00E759EB"/>
    <w:rsid w:val="19171801"/>
    <w:rsid w:val="27F71F39"/>
    <w:rsid w:val="4F9B7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customStyle="1" w:styleId="9">
    <w:name w:val="样式4"/>
    <w:basedOn w:val="1"/>
    <w:qFormat/>
    <w:uiPriority w:val="0"/>
    <w:pPr>
      <w:tabs>
        <w:tab w:val="left" w:pos="366"/>
        <w:tab w:val="left" w:pos="720"/>
      </w:tabs>
      <w:topLinePunct/>
      <w:ind w:firstLine="425"/>
    </w:pPr>
    <w:rPr>
      <w:rFonts w:eastAsia="黑体"/>
      <w:bCs/>
      <w:caps/>
      <w:kern w:val="21"/>
      <w:szCs w:val="21"/>
      <w:lang w:val="zh-CN"/>
    </w:rPr>
  </w:style>
  <w:style w:type="paragraph" w:customStyle="1" w:styleId="10">
    <w:name w:val="附表头"/>
    <w:basedOn w:val="1"/>
    <w:qFormat/>
    <w:uiPriority w:val="0"/>
    <w:pPr>
      <w:topLinePunct/>
      <w:adjustRightInd w:val="0"/>
      <w:spacing w:before="160" w:after="60"/>
      <w:jc w:val="center"/>
    </w:pPr>
    <w:rPr>
      <w:rFonts w:hAnsi="黑体" w:eastAsia="黑体"/>
      <w:kern w:val="21"/>
      <w:szCs w:val="21"/>
    </w:rPr>
  </w:style>
  <w:style w:type="paragraph" w:customStyle="1" w:styleId="11">
    <w:name w:val="List Paragraph"/>
    <w:basedOn w:val="1"/>
    <w:qFormat/>
    <w:uiPriority w:val="34"/>
    <w:pPr>
      <w:ind w:firstLine="420" w:firstLineChars="200"/>
    </w:pPr>
  </w:style>
  <w:style w:type="character" w:customStyle="1" w:styleId="12">
    <w:name w:val="批注框文本 字符"/>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3626</Words>
  <Characters>3701</Characters>
  <Lines>27</Lines>
  <Paragraphs>7</Paragraphs>
  <TotalTime>16</TotalTime>
  <ScaleCrop>false</ScaleCrop>
  <LinksUpToDate>false</LinksUpToDate>
  <CharactersWithSpaces>3732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2018-04-03T02:53:00Z</dcterms:created>
  <dc:creator>Leon Cheung</dc:creator>
  <cp:lastModifiedBy>天</cp:lastModifiedBy>
  <cp:lastPrinted>2023-05-25T07:53:13Z</cp:lastPrinted>
  <dcterms:modified xsi:type="dcterms:W3CDTF">2023-05-25T07:55:27Z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EFA7015136C343A792A3862205B8B6F2_13</vt:lpwstr>
  </property>
</Properties>
</file>