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rPr>
          <w:rFonts w:asciiTheme="minorEastAsia" w:hAnsiTheme="minorEastAsia" w:eastAsiaTheme="minorEastAsia"/>
          <w:b/>
          <w:sz w:val="28"/>
        </w:rPr>
      </w:pPr>
      <w:r>
        <w:rPr>
          <w:rFonts w:hint="eastAsia" w:asciiTheme="minorEastAsia" w:hAnsiTheme="minorEastAsia" w:eastAsiaTheme="minorEastAsia"/>
          <w:b/>
          <w:sz w:val="28"/>
        </w:rPr>
        <w:t>安全活动记录</w:t>
      </w:r>
    </w:p>
    <w:p>
      <w:pPr>
        <w:tabs>
          <w:tab w:val="left" w:pos="7590"/>
        </w:tabs>
        <w:topLinePunct/>
        <w:rPr>
          <w:rFonts w:hint="eastAsia" w:ascii="宋体" w:hAnsi="宋体" w:eastAsia="宋体"/>
          <w:kern w:val="21"/>
          <w:sz w:val="24"/>
          <w:lang w:eastAsia="zh-CN"/>
        </w:rPr>
      </w:pPr>
      <w:r>
        <w:rPr>
          <w:rFonts w:hint="eastAsia" w:ascii="宋体" w:hAnsi="宋体"/>
          <w:kern w:val="21"/>
          <w:szCs w:val="21"/>
        </w:rPr>
        <w:t>工程名称：海南联生分布式光伏发电项目</w:t>
      </w:r>
      <w:r>
        <w:rPr>
          <w:rFonts w:ascii="宋体" w:hAnsi="宋体"/>
          <w:kern w:val="21"/>
          <w:szCs w:val="21"/>
        </w:rPr>
        <w:t xml:space="preserve">                        </w:t>
      </w:r>
      <w:r>
        <w:rPr>
          <w:rFonts w:hint="eastAsia" w:ascii="宋体" w:hAnsi="宋体"/>
          <w:kern w:val="21"/>
          <w:szCs w:val="21"/>
          <w:lang w:val="en-US" w:eastAsia="zh-CN"/>
        </w:rPr>
        <w:t xml:space="preserve">       </w:t>
      </w:r>
      <w:bookmarkStart w:id="1" w:name="_GoBack"/>
      <w:bookmarkEnd w:id="1"/>
      <w:r>
        <w:rPr>
          <w:rFonts w:hint="eastAsia" w:ascii="宋体" w:hAnsi="宋体"/>
          <w:kern w:val="21"/>
          <w:szCs w:val="21"/>
        </w:rPr>
        <w:t>编号：HNLS-SJ-AQJL-00</w:t>
      </w:r>
      <w:r>
        <w:rPr>
          <w:rFonts w:hint="eastAsia" w:ascii="宋体" w:hAnsi="宋体"/>
          <w:kern w:val="21"/>
          <w:szCs w:val="21"/>
          <w:lang w:val="en-US" w:eastAsia="zh-CN"/>
        </w:rPr>
        <w:t>2</w:t>
      </w:r>
    </w:p>
    <w:tbl>
      <w:tblPr>
        <w:tblStyle w:val="5"/>
        <w:tblW w:w="971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
      <w:tblGrid>
        <w:gridCol w:w="2926"/>
        <w:gridCol w:w="67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2926"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活动时间</w:t>
            </w:r>
          </w:p>
        </w:tc>
        <w:tc>
          <w:tcPr>
            <w:tcW w:w="6789"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20</w:t>
            </w:r>
            <w:r>
              <w:rPr>
                <w:rFonts w:hint="eastAsia" w:asciiTheme="minorEastAsia" w:hAnsiTheme="minorEastAsia" w:eastAsiaTheme="minorEastAsia"/>
                <w:sz w:val="24"/>
                <w:lang w:val="en-US" w:eastAsia="zh-CN"/>
              </w:rPr>
              <w:t>23</w:t>
            </w:r>
            <w:r>
              <w:rPr>
                <w:rFonts w:hint="eastAsia" w:asciiTheme="minorEastAsia" w:hAnsiTheme="minorEastAsia" w:eastAsiaTheme="minorEastAsia"/>
                <w:sz w:val="24"/>
              </w:rPr>
              <w:t>年0</w:t>
            </w:r>
            <w:r>
              <w:rPr>
                <w:rFonts w:hint="eastAsia" w:asciiTheme="minorEastAsia" w:hAnsiTheme="minorEastAsia" w:eastAsiaTheme="minorEastAsia"/>
                <w:sz w:val="24"/>
                <w:lang w:val="en-US" w:eastAsia="zh-CN"/>
              </w:rPr>
              <w:t>4</w:t>
            </w:r>
            <w:r>
              <w:rPr>
                <w:rFonts w:hint="eastAsia" w:asciiTheme="minorEastAsia" w:hAnsiTheme="minorEastAsia" w:eastAsiaTheme="minorEastAsia"/>
                <w:sz w:val="24"/>
              </w:rPr>
              <w:t>月2</w:t>
            </w:r>
            <w:r>
              <w:rPr>
                <w:rFonts w:hint="eastAsia" w:asciiTheme="minorEastAsia" w:hAnsiTheme="minorEastAsia" w:eastAsiaTheme="minorEastAsia"/>
                <w:sz w:val="24"/>
                <w:lang w:val="en-US" w:eastAsia="zh-CN"/>
              </w:rPr>
              <w:t>8</w:t>
            </w:r>
            <w:r>
              <w:rPr>
                <w:rFonts w:hint="eastAsia" w:asciiTheme="minorEastAsia" w:hAnsiTheme="minorEastAsia" w:eastAsiaTheme="minorEastAsia"/>
                <w:sz w:val="24"/>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2926"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活动地点</w:t>
            </w:r>
          </w:p>
        </w:tc>
        <w:tc>
          <w:tcPr>
            <w:tcW w:w="6789"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项目地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2926"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主持（交底）人</w:t>
            </w:r>
          </w:p>
        </w:tc>
        <w:tc>
          <w:tcPr>
            <w:tcW w:w="6789"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胡景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9715" w:type="dxa"/>
            <w:gridSpan w:val="2"/>
            <w:tcMar>
              <w:top w:w="0" w:type="dxa"/>
              <w:left w:w="85" w:type="dxa"/>
              <w:bottom w:w="0" w:type="dxa"/>
              <w:right w:w="85" w:type="dxa"/>
            </w:tcMar>
            <w:vAlign w:val="center"/>
          </w:tcPr>
          <w:p>
            <w:pPr>
              <w:pStyle w:val="12"/>
              <w:numPr>
                <w:ilvl w:val="0"/>
                <w:numId w:val="1"/>
              </w:numPr>
              <w:spacing w:line="480" w:lineRule="auto"/>
              <w:ind w:firstLineChars="0"/>
              <w:rPr>
                <w:b/>
                <w:szCs w:val="21"/>
              </w:rPr>
            </w:pPr>
            <w:r>
              <w:rPr>
                <w:rFonts w:hint="eastAsia"/>
                <w:b/>
                <w:szCs w:val="21"/>
              </w:rPr>
              <w:t>安全</w:t>
            </w:r>
            <w:r>
              <w:rPr>
                <w:rFonts w:hint="eastAsia" w:ascii="宋体" w:hAnsi="宋体"/>
                <w:b/>
                <w:szCs w:val="21"/>
              </w:rPr>
              <w:t>生产依据</w:t>
            </w:r>
            <w:r>
              <w:rPr>
                <w:rFonts w:hint="eastAsia"/>
                <w:b/>
                <w:szCs w:val="21"/>
              </w:rPr>
              <w:t xml:space="preserve">  </w:t>
            </w:r>
          </w:p>
          <w:p>
            <w:pPr>
              <w:pStyle w:val="12"/>
              <w:numPr>
                <w:ilvl w:val="0"/>
                <w:numId w:val="2"/>
              </w:numPr>
              <w:spacing w:line="276" w:lineRule="auto"/>
              <w:ind w:firstLineChars="0"/>
              <w:rPr>
                <w:rFonts w:ascii="宋体"/>
              </w:rPr>
            </w:pPr>
            <w:r>
              <w:rPr>
                <w:rFonts w:hint="eastAsia" w:ascii="宋体"/>
              </w:rPr>
              <w:t>中华人民共和国国务院令第393号《建设工程安全生产管理条例》</w:t>
            </w:r>
          </w:p>
          <w:p>
            <w:pPr>
              <w:pStyle w:val="12"/>
              <w:numPr>
                <w:ilvl w:val="0"/>
                <w:numId w:val="2"/>
              </w:numPr>
              <w:spacing w:line="276" w:lineRule="auto"/>
              <w:ind w:firstLineChars="0"/>
              <w:rPr>
                <w:rFonts w:ascii="宋体"/>
              </w:rPr>
            </w:pPr>
            <w:r>
              <w:rPr>
                <w:rFonts w:ascii="宋体"/>
              </w:rPr>
              <w:t>中华人民共和国国务院令第493号《生产安全事故报告和调查处理条例》</w:t>
            </w:r>
          </w:p>
          <w:p>
            <w:pPr>
              <w:pStyle w:val="12"/>
              <w:numPr>
                <w:ilvl w:val="0"/>
                <w:numId w:val="2"/>
              </w:numPr>
              <w:spacing w:line="276" w:lineRule="auto"/>
              <w:ind w:firstLineChars="0"/>
              <w:rPr>
                <w:rFonts w:ascii="宋体"/>
              </w:rPr>
            </w:pPr>
            <w:r>
              <w:rPr>
                <w:rFonts w:ascii="宋体"/>
              </w:rPr>
              <w:t>中华人民共和国国务院令（第397号）</w:t>
            </w:r>
            <w:r>
              <w:rPr>
                <w:rFonts w:hint="eastAsia" w:ascii="宋体"/>
              </w:rPr>
              <w:t>《</w:t>
            </w:r>
            <w:r>
              <w:rPr>
                <w:rFonts w:ascii="宋体"/>
                <w:bCs/>
              </w:rPr>
              <w:t>安全生产许可证条例</w:t>
            </w:r>
            <w:r>
              <w:rPr>
                <w:rFonts w:hint="eastAsia" w:ascii="宋体"/>
                <w:bCs/>
              </w:rPr>
              <w:t>》</w:t>
            </w:r>
          </w:p>
          <w:p>
            <w:pPr>
              <w:pStyle w:val="12"/>
              <w:numPr>
                <w:ilvl w:val="0"/>
                <w:numId w:val="2"/>
              </w:numPr>
              <w:spacing w:line="276" w:lineRule="auto"/>
              <w:ind w:firstLineChars="0"/>
              <w:rPr>
                <w:rFonts w:ascii="宋体"/>
              </w:rPr>
            </w:pPr>
            <w:r>
              <w:rPr>
                <w:rFonts w:ascii="宋体"/>
              </w:rPr>
              <w:t>中华人民共和国</w:t>
            </w:r>
            <w:r>
              <w:rPr>
                <w:rFonts w:hint="eastAsia" w:ascii="宋体"/>
              </w:rPr>
              <w:t>主席令70号《</w:t>
            </w:r>
            <w:r>
              <w:rPr>
                <w:rFonts w:ascii="宋体"/>
              </w:rPr>
              <w:t>中华人民共和国安全生产法</w:t>
            </w:r>
            <w:r>
              <w:rPr>
                <w:rFonts w:hint="eastAsia" w:ascii="宋体"/>
              </w:rPr>
              <w:t>》</w:t>
            </w:r>
          </w:p>
          <w:p>
            <w:pPr>
              <w:pStyle w:val="12"/>
              <w:numPr>
                <w:ilvl w:val="0"/>
                <w:numId w:val="2"/>
              </w:numPr>
              <w:spacing w:line="276" w:lineRule="auto"/>
              <w:ind w:firstLineChars="0"/>
              <w:rPr>
                <w:rFonts w:ascii="宋体"/>
              </w:rPr>
            </w:pPr>
            <w:r>
              <w:rPr>
                <w:rFonts w:hint="eastAsia" w:ascii="宋体"/>
              </w:rPr>
              <w:t>1995年公安部频布</w:t>
            </w:r>
            <w:r>
              <w:rPr>
                <w:rFonts w:ascii="宋体"/>
              </w:rPr>
              <w:t>中华人民共和国《高速公路交通管理办法》</w:t>
            </w:r>
          </w:p>
          <w:p>
            <w:pPr>
              <w:pStyle w:val="12"/>
              <w:numPr>
                <w:ilvl w:val="0"/>
                <w:numId w:val="2"/>
              </w:numPr>
              <w:spacing w:line="276" w:lineRule="auto"/>
              <w:ind w:firstLineChars="0"/>
              <w:rPr>
                <w:rFonts w:ascii="宋体"/>
              </w:rPr>
            </w:pPr>
            <w:r>
              <w:rPr>
                <w:rFonts w:ascii="宋体"/>
              </w:rPr>
              <w:t>中华人民共和国卫生部令 第23号《职业健康监护管理办法》</w:t>
            </w:r>
          </w:p>
          <w:p>
            <w:pPr>
              <w:pStyle w:val="12"/>
              <w:numPr>
                <w:ilvl w:val="0"/>
                <w:numId w:val="2"/>
              </w:numPr>
              <w:spacing w:line="276" w:lineRule="auto"/>
              <w:ind w:firstLineChars="0"/>
              <w:rPr>
                <w:rFonts w:ascii="宋体"/>
              </w:rPr>
            </w:pPr>
            <w:r>
              <w:rPr>
                <w:rFonts w:hint="eastAsia" w:ascii="宋体"/>
              </w:rPr>
              <w:t>1995年劳动部频布《</w:t>
            </w:r>
            <w:r>
              <w:rPr>
                <w:rFonts w:ascii="宋体"/>
              </w:rPr>
              <w:t>企业职工劳动安全卫生教育管理规定</w:t>
            </w:r>
            <w:r>
              <w:rPr>
                <w:rFonts w:hint="eastAsia" w:ascii="宋体"/>
              </w:rPr>
              <w:t>》</w:t>
            </w:r>
          </w:p>
          <w:p>
            <w:pPr>
              <w:pStyle w:val="12"/>
              <w:numPr>
                <w:ilvl w:val="0"/>
                <w:numId w:val="2"/>
              </w:numPr>
              <w:spacing w:line="276" w:lineRule="auto"/>
              <w:ind w:firstLineChars="0"/>
              <w:rPr>
                <w:rFonts w:ascii="宋体"/>
              </w:rPr>
            </w:pPr>
            <w:r>
              <w:rPr>
                <w:rFonts w:ascii="宋体"/>
              </w:rPr>
              <w:t>ＪＧＪ５９－９９建筑施工安全检查标准</w:t>
            </w:r>
          </w:p>
          <w:p>
            <w:pPr>
              <w:pStyle w:val="12"/>
              <w:numPr>
                <w:ilvl w:val="0"/>
                <w:numId w:val="2"/>
              </w:numPr>
              <w:spacing w:line="276" w:lineRule="auto"/>
              <w:ind w:firstLineChars="0"/>
              <w:rPr>
                <w:rFonts w:ascii="宋体"/>
              </w:rPr>
            </w:pPr>
            <w:r>
              <w:rPr>
                <w:rFonts w:hint="eastAsia" w:ascii="宋体"/>
              </w:rPr>
              <w:t>建设部令13号《</w:t>
            </w:r>
            <w:r>
              <w:rPr>
                <w:rFonts w:ascii="宋体"/>
              </w:rPr>
              <w:t>建筑安全生产监督管理规定</w:t>
            </w:r>
            <w:r>
              <w:rPr>
                <w:rFonts w:hint="eastAsia" w:ascii="宋体"/>
              </w:rPr>
              <w:t>》</w:t>
            </w:r>
          </w:p>
          <w:p>
            <w:pPr>
              <w:pStyle w:val="12"/>
              <w:numPr>
                <w:ilvl w:val="0"/>
                <w:numId w:val="2"/>
              </w:numPr>
              <w:spacing w:line="276" w:lineRule="auto"/>
              <w:ind w:firstLineChars="0"/>
              <w:rPr>
                <w:rFonts w:ascii="宋体"/>
              </w:rPr>
            </w:pPr>
            <w:r>
              <w:rPr>
                <w:rFonts w:ascii="宋体"/>
              </w:rPr>
              <w:t>中华人民共和国劳动部令第３号《建设项目（工程）劳动安全卫生监察规定》</w:t>
            </w:r>
          </w:p>
          <w:p>
            <w:pPr>
              <w:pStyle w:val="12"/>
              <w:numPr>
                <w:ilvl w:val="0"/>
                <w:numId w:val="2"/>
              </w:numPr>
              <w:spacing w:line="276" w:lineRule="auto"/>
              <w:ind w:firstLineChars="0"/>
              <w:rPr>
                <w:rFonts w:ascii="宋体"/>
              </w:rPr>
            </w:pPr>
            <w:r>
              <w:rPr>
                <w:rFonts w:ascii="宋体"/>
              </w:rPr>
              <w:t>中华人民共和国公安部令 第61号</w:t>
            </w:r>
            <w:r>
              <w:rPr>
                <w:rFonts w:hint="eastAsia" w:ascii="宋体"/>
              </w:rPr>
              <w:t>《</w:t>
            </w:r>
            <w:r>
              <w:rPr>
                <w:rFonts w:ascii="宋体"/>
              </w:rPr>
              <w:t>机关、团体、企业、事业单位消防安全管理规定</w:t>
            </w:r>
            <w:r>
              <w:rPr>
                <w:rFonts w:hint="eastAsia" w:ascii="宋体"/>
              </w:rPr>
              <w:t>》</w:t>
            </w:r>
          </w:p>
          <w:p>
            <w:pPr>
              <w:pStyle w:val="12"/>
              <w:numPr>
                <w:ilvl w:val="0"/>
                <w:numId w:val="2"/>
              </w:numPr>
              <w:spacing w:line="276" w:lineRule="auto"/>
              <w:ind w:firstLineChars="0"/>
              <w:rPr>
                <w:rFonts w:ascii="宋体"/>
              </w:rPr>
            </w:pPr>
            <w:r>
              <w:rPr>
                <w:rFonts w:hint="eastAsia" w:ascii="宋体"/>
              </w:rPr>
              <w:t>《工程建设标准强制性条文》建标〔2000〕179号、《工程建设标准强制性条文》建标〔2000〕202号、《工程建设标准强制性条文》建标〔2000〕219号</w:t>
            </w:r>
          </w:p>
          <w:p>
            <w:pPr>
              <w:pStyle w:val="12"/>
              <w:numPr>
                <w:ilvl w:val="0"/>
                <w:numId w:val="2"/>
              </w:numPr>
              <w:spacing w:line="276" w:lineRule="auto"/>
              <w:ind w:firstLineChars="0"/>
              <w:rPr>
                <w:rFonts w:ascii="宋体"/>
              </w:rPr>
            </w:pPr>
            <w:bookmarkStart w:id="0" w:name="pid5755"/>
            <w:r>
              <w:rPr>
                <w:rFonts w:ascii="宋体"/>
              </w:rPr>
              <w:fldChar w:fldCharType="begin"/>
            </w:r>
            <w:r>
              <w:rPr>
                <w:rFonts w:ascii="宋体"/>
              </w:rPr>
              <w:instrText xml:space="preserve"> </w:instrText>
            </w:r>
            <w:r>
              <w:rPr>
                <w:rFonts w:hint="eastAsia" w:ascii="宋体"/>
              </w:rPr>
              <w:instrText xml:space="preserve">HYPERLINK "http://www.petroart.cn/misc.php?action=viewratings&amp;tid=1522&amp;pid=5755" \o "评分 0"</w:instrText>
            </w:r>
            <w:r>
              <w:rPr>
                <w:rFonts w:ascii="宋体"/>
              </w:rPr>
              <w:instrText xml:space="preserve"> </w:instrText>
            </w:r>
            <w:r>
              <w:rPr>
                <w:rFonts w:ascii="宋体"/>
              </w:rPr>
              <w:fldChar w:fldCharType="end"/>
            </w:r>
            <w:bookmarkEnd w:id="0"/>
            <w:r>
              <w:rPr>
                <w:rFonts w:ascii="宋体"/>
              </w:rPr>
              <w:t>建市[2006]248号</w:t>
            </w:r>
            <w:r>
              <w:rPr>
                <w:rFonts w:hint="eastAsia" w:ascii="宋体"/>
              </w:rPr>
              <w:t>《</w:t>
            </w:r>
            <w:r>
              <w:rPr>
                <w:rFonts w:ascii="宋体"/>
              </w:rPr>
              <w:t>关于落实建设工程安全生产监理责任的若干意见</w:t>
            </w:r>
            <w:r>
              <w:rPr>
                <w:rFonts w:hint="eastAsia" w:ascii="宋体"/>
              </w:rPr>
              <w:t>》</w:t>
            </w:r>
          </w:p>
          <w:p>
            <w:pPr>
              <w:pStyle w:val="12"/>
              <w:numPr>
                <w:ilvl w:val="0"/>
                <w:numId w:val="2"/>
              </w:numPr>
              <w:spacing w:line="276" w:lineRule="auto"/>
              <w:ind w:firstLineChars="0"/>
              <w:rPr>
                <w:rFonts w:ascii="宋体"/>
              </w:rPr>
            </w:pPr>
            <w:r>
              <w:rPr>
                <w:rFonts w:hint="eastAsia" w:ascii="宋体"/>
              </w:rPr>
              <w:t>JGJ146-2004《建筑施工现场环境与卫生标准》</w:t>
            </w:r>
          </w:p>
          <w:p>
            <w:pPr>
              <w:spacing w:line="276"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以及电力工程建设项目安全生产标准化规范及工程建设标准强制性条等（国家、行业颁发的相关安全生产法规、条例）、</w:t>
            </w:r>
            <w:r>
              <w:rPr>
                <w:rFonts w:hint="eastAsia" w:asciiTheme="minorEastAsia" w:hAnsiTheme="minorEastAsia" w:eastAsiaTheme="minorEastAsia"/>
                <w:color w:val="000000"/>
                <w:sz w:val="24"/>
              </w:rPr>
              <w:t>公司安全生产标准化体系及其他安全生产管理规章制度</w:t>
            </w:r>
            <w:r>
              <w:rPr>
                <w:rFonts w:hint="eastAsia" w:asciiTheme="minorEastAsia" w:hAnsiTheme="minorEastAsia" w:eastAsiaTheme="minorEastAsia"/>
                <w:sz w:val="24"/>
              </w:rPr>
              <w:t>和</w:t>
            </w:r>
            <w:r>
              <w:rPr>
                <w:rFonts w:hint="eastAsia" w:asciiTheme="minorEastAsia" w:hAnsiTheme="minorEastAsia" w:eastAsiaTheme="minorEastAsia"/>
                <w:color w:val="000000"/>
                <w:sz w:val="24"/>
              </w:rPr>
              <w:t>公司</w:t>
            </w:r>
            <w:r>
              <w:rPr>
                <w:rFonts w:hint="eastAsia" w:asciiTheme="minorEastAsia" w:hAnsiTheme="minorEastAsia" w:eastAsiaTheme="minorEastAsia"/>
                <w:sz w:val="24"/>
              </w:rPr>
              <w:t>监理手册(基本册、分册)。</w:t>
            </w:r>
          </w:p>
          <w:p>
            <w:pPr>
              <w:spacing w:line="276" w:lineRule="auto"/>
              <w:ind w:firstLine="102" w:firstLineChars="49"/>
              <w:rPr>
                <w:rFonts w:ascii="宋体"/>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9715" w:type="dxa"/>
            <w:gridSpan w:val="2"/>
            <w:tcMar>
              <w:top w:w="0" w:type="dxa"/>
              <w:left w:w="85" w:type="dxa"/>
              <w:bottom w:w="0" w:type="dxa"/>
              <w:right w:w="85" w:type="dxa"/>
            </w:tcMar>
            <w:vAlign w:val="center"/>
          </w:tcPr>
          <w:p>
            <w:pPr>
              <w:numPr>
                <w:ilvl w:val="0"/>
                <w:numId w:val="3"/>
              </w:numPr>
              <w:spacing w:line="480" w:lineRule="auto"/>
              <w:rPr>
                <w:szCs w:val="21"/>
              </w:rPr>
            </w:pPr>
            <w:r>
              <w:rPr>
                <w:rFonts w:hint="eastAsia"/>
                <w:b/>
                <w:szCs w:val="21"/>
              </w:rPr>
              <w:t>安全交底内容</w:t>
            </w:r>
          </w:p>
          <w:p>
            <w:pPr>
              <w:numPr>
                <w:ilvl w:val="0"/>
                <w:numId w:val="4"/>
              </w:numPr>
              <w:spacing w:line="360" w:lineRule="auto"/>
              <w:rPr>
                <w:rFonts w:asciiTheme="minorEastAsia" w:hAnsiTheme="minorEastAsia" w:eastAsiaTheme="minorEastAsia"/>
                <w:b/>
                <w:sz w:val="24"/>
              </w:rPr>
            </w:pPr>
            <w:r>
              <w:rPr>
                <w:rFonts w:hint="eastAsia" w:asciiTheme="minorEastAsia" w:hAnsiTheme="minorEastAsia" w:eastAsiaTheme="minorEastAsia"/>
                <w:b/>
                <w:sz w:val="24"/>
              </w:rPr>
              <w:t>施工准备阶段</w:t>
            </w:r>
          </w:p>
          <w:p>
            <w:pPr>
              <w:numPr>
                <w:ilvl w:val="0"/>
                <w:numId w:val="5"/>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对施工单位资质及人员资格送审资料的审核，重点单位安全许可证及主要人员的专业资格证、《安全生产考试合格证》、《安全生产培训合格证》、特种作业人员等。</w:t>
            </w:r>
          </w:p>
          <w:p>
            <w:pPr>
              <w:numPr>
                <w:ilvl w:val="0"/>
                <w:numId w:val="5"/>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对施工组织方案的审核，重点施工安全措施及安全事故后相关的应对措施及解决方案等。</w:t>
            </w:r>
          </w:p>
          <w:p>
            <w:pPr>
              <w:numPr>
                <w:ilvl w:val="0"/>
                <w:numId w:val="5"/>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对设计文件的审核，重点标注风险点及必要的防范措施，突出强制性标准的措施、技术要求等。</w:t>
            </w:r>
          </w:p>
          <w:p>
            <w:pPr>
              <w:numPr>
                <w:ilvl w:val="0"/>
                <w:numId w:val="5"/>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对设备、材料的审核，重点质量证明文件：检验合格证（报告）、出厂合格证、抗震检验证明、入网证等。</w:t>
            </w:r>
          </w:p>
          <w:p>
            <w:pPr>
              <w:numPr>
                <w:ilvl w:val="0"/>
                <w:numId w:val="5"/>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对施工单位提交项目安全生产报审资料的审核，重点施工单位的安全生产措施、安全承诺书等，并及时向施工单位发出项目《监理安全通知书》。</w:t>
            </w:r>
          </w:p>
          <w:p>
            <w:pPr>
              <w:numPr>
                <w:ilvl w:val="0"/>
                <w:numId w:val="5"/>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施工安全技术交底的审核，重点对项目团队-作业班组（项目经理/对施工负责人/班组长交底）、作业班组-班组成员（施工负责人/班组长对现场施工人员），逐级安全技术交底记录，交底签名有效、内容具备针对性。</w:t>
            </w:r>
          </w:p>
          <w:p>
            <w:pPr>
              <w:numPr>
                <w:ilvl w:val="0"/>
                <w:numId w:val="4"/>
              </w:numPr>
              <w:spacing w:line="276" w:lineRule="auto"/>
              <w:rPr>
                <w:rFonts w:asciiTheme="minorEastAsia" w:hAnsiTheme="minorEastAsia" w:eastAsiaTheme="minorEastAsia"/>
                <w:b/>
                <w:sz w:val="24"/>
              </w:rPr>
            </w:pPr>
            <w:r>
              <w:rPr>
                <w:rFonts w:hint="eastAsia" w:asciiTheme="minorEastAsia" w:hAnsiTheme="minorEastAsia" w:eastAsiaTheme="minorEastAsia"/>
                <w:b/>
                <w:sz w:val="24"/>
              </w:rPr>
              <w:t>施工阶段</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施工手续的检查（开工报告、施工许可证（建设单位及产权方）、报建审批手续、动火作业证）。</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对现场作业人员资格的检查，重点对《安全生产考试合格证》、《安全生产培训合格证》、特种作业证等。</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现场施工安全交底检查监督，监理人员要检查监督施工单位对当天施工环节的安全交底（施工负责人/班组长对现场施工人员），交底签名有效、内容具备针对性。</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监理安全员检查/巡查，定期/不定期对施工现场进行安全生产检查并做好记录，对不符合要求要及时监督整改。</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监理人员检查/巡查，监理工程师/监理员定期/不定期对施工现场的安全措施巡查加强安全管控。</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割接/加电/测试/升级方案的审核，割接/加电/测试/升级方案需获得相关部门审批，方案及审批文件，监理签发的《割接/加电/测试/升级方案审核意见表/割接记录确认表》E-17）。</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日常安全风险管控工作，现场监理人员要求要随身携带《环节风险的等级划分条件和警示》小册、《常州正衡电力工程监理有限公司监理工程高风险作业施工安全风险操作指引》小册，对当天施工环节的风险点要向相关人员发出安全风险警示信息。</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重要工序作业（隐蔽工程、顶管、高压电线下作业、割接、加电测试等）需编制旁站监理方案，并委派专人进行旁站及做好旁站监理记录。</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人员的安全防护，现场监理人员的安全防护用品（安全头盔、反光衣、工作鞋等）及携带的工具包（试电笔、电筒，卷尺等）。</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现场作业（仪器、仪表及施工作业安全性）的检查，（1）对仪器、仪表的报审资料进行审核，具有在有效期内的检测记录，并现场使用的仪器、仪表外壳张贴；（2）检查施工人员是否随身携带《常州正衡电力工程监理有限公司监理工程高风险作业施工安全风险操作指引》小册，施工操作是否符合高风险作业安全操作指引。</w:t>
            </w:r>
          </w:p>
          <w:p>
            <w:pPr>
              <w:numPr>
                <w:ilvl w:val="0"/>
                <w:numId w:val="6"/>
              </w:numPr>
              <w:spacing w:line="276" w:lineRule="auto"/>
              <w:rPr>
                <w:rFonts w:asciiTheme="minorEastAsia" w:hAnsiTheme="minorEastAsia" w:eastAsiaTheme="minorEastAsia"/>
                <w:sz w:val="24"/>
              </w:rPr>
            </w:pPr>
            <w:r>
              <w:rPr>
                <w:rFonts w:hint="eastAsia" w:asciiTheme="minorEastAsia" w:hAnsiTheme="minorEastAsia" w:eastAsiaTheme="minorEastAsia"/>
                <w:sz w:val="24"/>
              </w:rPr>
              <w:t>现场及实体（现场环境及工程实体）的检查，对现场环境，要及时排查工程实体及周边是否存在安全隐患（现场安全措施是否到位，是否存在安全隐患）；检查工程实体是否符合国家强制性标准条文规定。</w:t>
            </w:r>
          </w:p>
          <w:p>
            <w:pPr>
              <w:numPr>
                <w:ilvl w:val="0"/>
                <w:numId w:val="4"/>
              </w:numPr>
              <w:spacing w:line="276" w:lineRule="auto"/>
              <w:rPr>
                <w:rFonts w:asciiTheme="minorEastAsia" w:hAnsiTheme="minorEastAsia" w:eastAsiaTheme="minorEastAsia"/>
                <w:b/>
                <w:sz w:val="24"/>
              </w:rPr>
            </w:pPr>
            <w:r>
              <w:rPr>
                <w:rFonts w:hint="eastAsia" w:asciiTheme="minorEastAsia" w:hAnsiTheme="minorEastAsia" w:eastAsiaTheme="minorEastAsia"/>
                <w:b/>
                <w:sz w:val="24"/>
              </w:rPr>
              <w:t>验收阶段</w:t>
            </w:r>
          </w:p>
          <w:p>
            <w:pPr>
              <w:spacing w:line="276" w:lineRule="auto"/>
              <w:ind w:left="420" w:leftChars="200"/>
              <w:rPr>
                <w:szCs w:val="21"/>
              </w:rPr>
            </w:pPr>
            <w:r>
              <w:rPr>
                <w:rFonts w:hint="eastAsia" w:asciiTheme="minorEastAsia" w:hAnsiTheme="minorEastAsia" w:eastAsiaTheme="minorEastAsia"/>
                <w:sz w:val="24"/>
              </w:rPr>
              <w:t>1. 验收前要做好验收计划、方案及验收安全防范措施，确保安全</w:t>
            </w:r>
            <w:r>
              <w:rPr>
                <w:rFonts w:hint="eastAsia"/>
                <w:szCs w:val="21"/>
              </w:rPr>
              <w:t>。</w:t>
            </w:r>
          </w:p>
          <w:p>
            <w:pPr>
              <w:rPr>
                <w:b/>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9715" w:type="dxa"/>
            <w:gridSpan w:val="2"/>
            <w:tcMar>
              <w:top w:w="0" w:type="dxa"/>
              <w:left w:w="85" w:type="dxa"/>
              <w:bottom w:w="0" w:type="dxa"/>
              <w:right w:w="85" w:type="dxa"/>
            </w:tcMar>
            <w:vAlign w:val="center"/>
          </w:tcPr>
          <w:p>
            <w:pPr>
              <w:pStyle w:val="12"/>
              <w:numPr>
                <w:ilvl w:val="0"/>
                <w:numId w:val="3"/>
              </w:numPr>
              <w:spacing w:line="480" w:lineRule="auto"/>
              <w:ind w:firstLineChars="0"/>
              <w:rPr>
                <w:b/>
                <w:szCs w:val="21"/>
              </w:rPr>
            </w:pPr>
            <w:r>
              <w:rPr>
                <w:rFonts w:hint="eastAsia"/>
                <w:b/>
                <w:szCs w:val="21"/>
              </w:rPr>
              <w:t>职业健康安全管理方案</w:t>
            </w:r>
          </w:p>
          <w:p>
            <w:pPr>
              <w:spacing w:line="276" w:lineRule="auto"/>
              <w:ind w:firstLine="241" w:firstLineChars="100"/>
              <w:rPr>
                <w:rFonts w:asciiTheme="minorEastAsia" w:hAnsiTheme="minorEastAsia" w:eastAsiaTheme="minorEastAsia"/>
                <w:b/>
                <w:sz w:val="24"/>
              </w:rPr>
            </w:pPr>
            <w:r>
              <w:rPr>
                <w:rFonts w:hint="eastAsia" w:asciiTheme="minorEastAsia" w:hAnsiTheme="minorEastAsia" w:eastAsiaTheme="minorEastAsia"/>
                <w:b/>
                <w:sz w:val="24"/>
              </w:rPr>
              <w:t>（一）、职业健康安全目标和指标</w:t>
            </w:r>
          </w:p>
          <w:p>
            <w:pPr>
              <w:spacing w:line="276" w:lineRule="auto"/>
              <w:ind w:left="210" w:leftChars="100" w:firstLine="117" w:firstLineChars="49"/>
              <w:rPr>
                <w:rFonts w:ascii="宋体"/>
                <w:sz w:val="24"/>
              </w:rPr>
            </w:pPr>
            <w:r>
              <w:rPr>
                <w:rFonts w:hint="eastAsia" w:ascii="宋体"/>
                <w:sz w:val="24"/>
              </w:rPr>
              <w:t>1．全年因公死亡事故率：0％；</w:t>
            </w:r>
          </w:p>
          <w:p>
            <w:pPr>
              <w:spacing w:line="276" w:lineRule="auto"/>
              <w:ind w:left="210" w:leftChars="100" w:firstLine="117" w:firstLineChars="49"/>
              <w:rPr>
                <w:rFonts w:ascii="宋体"/>
                <w:sz w:val="24"/>
              </w:rPr>
            </w:pPr>
            <w:r>
              <w:rPr>
                <w:rFonts w:hint="eastAsia" w:ascii="宋体"/>
                <w:sz w:val="24"/>
              </w:rPr>
              <w:t>2．全年因公重伤事故率：0％；</w:t>
            </w:r>
          </w:p>
          <w:p>
            <w:pPr>
              <w:spacing w:line="276" w:lineRule="auto"/>
              <w:ind w:left="210" w:leftChars="100" w:firstLine="117" w:firstLineChars="49"/>
              <w:rPr>
                <w:rFonts w:ascii="宋体"/>
                <w:sz w:val="24"/>
              </w:rPr>
            </w:pPr>
            <w:r>
              <w:rPr>
                <w:rFonts w:hint="eastAsia" w:ascii="宋体"/>
                <w:sz w:val="24"/>
              </w:rPr>
              <w:t>3．员工安全教育率：100％；</w:t>
            </w:r>
          </w:p>
          <w:p>
            <w:pPr>
              <w:spacing w:line="276" w:lineRule="auto"/>
              <w:ind w:left="210" w:leftChars="100" w:firstLine="117" w:firstLineChars="49"/>
              <w:rPr>
                <w:rFonts w:ascii="宋体"/>
                <w:sz w:val="24"/>
              </w:rPr>
            </w:pPr>
            <w:r>
              <w:rPr>
                <w:rFonts w:hint="eastAsia" w:ascii="宋体"/>
                <w:sz w:val="24"/>
              </w:rPr>
              <w:t>4．火灾、爆炸事故率：0％；</w:t>
            </w:r>
          </w:p>
          <w:p>
            <w:pPr>
              <w:spacing w:line="276" w:lineRule="auto"/>
              <w:ind w:left="210" w:leftChars="100" w:firstLine="117" w:firstLineChars="49"/>
              <w:rPr>
                <w:rFonts w:ascii="宋体"/>
                <w:sz w:val="24"/>
              </w:rPr>
            </w:pPr>
            <w:r>
              <w:rPr>
                <w:rFonts w:hint="eastAsia" w:ascii="宋体"/>
                <w:sz w:val="24"/>
              </w:rPr>
              <w:t>5．杜绝群体性中毒、中暑、传染病以及职业病的发生。</w:t>
            </w:r>
          </w:p>
          <w:p>
            <w:pPr>
              <w:spacing w:line="480" w:lineRule="auto"/>
              <w:ind w:firstLine="241" w:firstLineChars="100"/>
              <w:rPr>
                <w:rFonts w:asciiTheme="minorEastAsia" w:hAnsiTheme="minorEastAsia" w:eastAsiaTheme="minorEastAsia"/>
                <w:b/>
                <w:sz w:val="24"/>
              </w:rPr>
            </w:pPr>
            <w:r>
              <w:rPr>
                <w:rFonts w:hint="eastAsia" w:asciiTheme="minorEastAsia" w:hAnsiTheme="minorEastAsia" w:eastAsiaTheme="minorEastAsia"/>
                <w:b/>
                <w:sz w:val="24"/>
              </w:rPr>
              <w:t>（二）职业健康安全辨别与评价：</w:t>
            </w:r>
          </w:p>
          <w:p>
            <w:pPr>
              <w:spacing w:line="276" w:lineRule="auto"/>
              <w:ind w:left="420" w:leftChars="200" w:firstLine="480" w:firstLineChars="200"/>
              <w:rPr>
                <w:rFonts w:ascii="宋体"/>
                <w:sz w:val="24"/>
              </w:rPr>
            </w:pPr>
            <w:r>
              <w:rPr>
                <w:rFonts w:hint="eastAsia" w:ascii="宋体"/>
                <w:sz w:val="24"/>
              </w:rPr>
              <w:t>专家组对本项目现场的危险源进行收集、汇总，并对照相关法律法规和其它要求以及本单位的有关规章、制度，确定重大危险源。</w:t>
            </w: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ind w:left="420" w:leftChars="200" w:firstLine="482" w:firstLineChars="200"/>
              <w:rPr>
                <w:b/>
                <w:sz w:val="24"/>
              </w:rPr>
            </w:pPr>
          </w:p>
          <w:p>
            <w:pPr>
              <w:spacing w:line="276" w:lineRule="auto"/>
              <w:rPr>
                <w:b/>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trHeight w:val="3620" w:hRule="atLeast"/>
          <w:jc w:val="center"/>
        </w:trPr>
        <w:tc>
          <w:tcPr>
            <w:tcW w:w="2926"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r>
              <w:rPr>
                <w:rFonts w:hint="eastAsia" w:asciiTheme="minorEastAsia" w:hAnsiTheme="minorEastAsia" w:eastAsiaTheme="minorEastAsia"/>
                <w:sz w:val="24"/>
              </w:rPr>
              <w:t>参加人</w:t>
            </w:r>
            <w:r>
              <w:rPr>
                <w:rFonts w:asciiTheme="minorEastAsia" w:hAnsiTheme="minorEastAsia" w:eastAsiaTheme="minorEastAsia"/>
                <w:sz w:val="24"/>
              </w:rPr>
              <w:t>（签字）</w:t>
            </w:r>
          </w:p>
        </w:tc>
        <w:tc>
          <w:tcPr>
            <w:tcW w:w="6789" w:type="dxa"/>
            <w:tcMar>
              <w:top w:w="0" w:type="dxa"/>
              <w:left w:w="85" w:type="dxa"/>
              <w:bottom w:w="0" w:type="dxa"/>
              <w:right w:w="85" w:type="dxa"/>
            </w:tcMar>
            <w:vAlign w:val="center"/>
          </w:tcPr>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p>
            <w:pPr>
              <w:topLinePunct/>
              <w:snapToGrid w:val="0"/>
              <w:spacing w:before="60" w:after="60"/>
              <w:jc w:val="center"/>
              <w:rPr>
                <w:rFonts w:asciiTheme="minorEastAsia" w:hAnsiTheme="minorEastAsia" w:eastAsiaTheme="minorEastAsia"/>
                <w:sz w:val="24"/>
              </w:rPr>
            </w:pPr>
          </w:p>
        </w:tc>
      </w:tr>
    </w:tbl>
    <w:p>
      <w:pPr>
        <w:topLinePunct/>
        <w:rPr>
          <w:rFonts w:asciiTheme="minorEastAsia" w:hAnsiTheme="minorEastAsia" w:eastAsiaTheme="minorEastAsia"/>
          <w:sz w:val="24"/>
        </w:rPr>
      </w:pPr>
    </w:p>
    <w:sectPr>
      <w:headerReference r:id="rId3" w:type="default"/>
      <w:footerReference r:id="rId4"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swiss"/>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61171252"/>
    </w:sdtPr>
    <w:sdtContent>
      <w:sdt>
        <w:sdtPr>
          <w:id w:val="1728636285"/>
        </w:sdtPr>
        <w:sdtContent>
          <w:p>
            <w:pPr>
              <w:pStyle w:val="3"/>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3</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w:t>
            </w:r>
            <w:r>
              <w:rPr>
                <w:b/>
                <w:bCs/>
                <w:sz w:val="24"/>
                <w:szCs w:val="24"/>
              </w:rPr>
              <w:fldChar w:fldCharType="end"/>
            </w:r>
          </w:p>
        </w:sdtContent>
      </w:sdt>
    </w:sdtContent>
  </w:sdt>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0"/>
      <w:rPr>
        <w:kern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121D98"/>
    <w:multiLevelType w:val="multilevel"/>
    <w:tmpl w:val="0D121D98"/>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
    <w:nsid w:val="13DE611C"/>
    <w:multiLevelType w:val="multilevel"/>
    <w:tmpl w:val="13DE611C"/>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1DCB1A95"/>
    <w:multiLevelType w:val="multilevel"/>
    <w:tmpl w:val="1DCB1A95"/>
    <w:lvl w:ilvl="0" w:tentative="0">
      <w:start w:val="1"/>
      <w:numFmt w:val="japaneseCounting"/>
      <w:lvlText w:val="（%1）"/>
      <w:lvlJc w:val="left"/>
      <w:pPr>
        <w:ind w:left="957" w:hanging="750"/>
      </w:pPr>
      <w:rPr>
        <w:rFonts w:hint="default"/>
      </w:rPr>
    </w:lvl>
    <w:lvl w:ilvl="1" w:tentative="0">
      <w:start w:val="1"/>
      <w:numFmt w:val="lowerLetter"/>
      <w:lvlText w:val="%2)"/>
      <w:lvlJc w:val="left"/>
      <w:pPr>
        <w:ind w:left="1047" w:hanging="420"/>
      </w:pPr>
    </w:lvl>
    <w:lvl w:ilvl="2" w:tentative="0">
      <w:start w:val="1"/>
      <w:numFmt w:val="lowerRoman"/>
      <w:lvlText w:val="%3."/>
      <w:lvlJc w:val="right"/>
      <w:pPr>
        <w:ind w:left="1467" w:hanging="420"/>
      </w:pPr>
    </w:lvl>
    <w:lvl w:ilvl="3" w:tentative="0">
      <w:start w:val="1"/>
      <w:numFmt w:val="decimal"/>
      <w:lvlText w:val="%4."/>
      <w:lvlJc w:val="left"/>
      <w:pPr>
        <w:ind w:left="1887" w:hanging="420"/>
      </w:pPr>
    </w:lvl>
    <w:lvl w:ilvl="4" w:tentative="0">
      <w:start w:val="1"/>
      <w:numFmt w:val="lowerLetter"/>
      <w:lvlText w:val="%5)"/>
      <w:lvlJc w:val="left"/>
      <w:pPr>
        <w:ind w:left="2307" w:hanging="420"/>
      </w:pPr>
    </w:lvl>
    <w:lvl w:ilvl="5" w:tentative="0">
      <w:start w:val="1"/>
      <w:numFmt w:val="lowerRoman"/>
      <w:lvlText w:val="%6."/>
      <w:lvlJc w:val="right"/>
      <w:pPr>
        <w:ind w:left="2727" w:hanging="420"/>
      </w:pPr>
    </w:lvl>
    <w:lvl w:ilvl="6" w:tentative="0">
      <w:start w:val="1"/>
      <w:numFmt w:val="decimal"/>
      <w:lvlText w:val="%7."/>
      <w:lvlJc w:val="left"/>
      <w:pPr>
        <w:ind w:left="3147" w:hanging="420"/>
      </w:pPr>
    </w:lvl>
    <w:lvl w:ilvl="7" w:tentative="0">
      <w:start w:val="1"/>
      <w:numFmt w:val="lowerLetter"/>
      <w:lvlText w:val="%8)"/>
      <w:lvlJc w:val="left"/>
      <w:pPr>
        <w:ind w:left="3567" w:hanging="420"/>
      </w:pPr>
    </w:lvl>
    <w:lvl w:ilvl="8" w:tentative="0">
      <w:start w:val="1"/>
      <w:numFmt w:val="lowerRoman"/>
      <w:lvlText w:val="%9."/>
      <w:lvlJc w:val="right"/>
      <w:pPr>
        <w:ind w:left="3987" w:hanging="420"/>
      </w:pPr>
    </w:lvl>
  </w:abstractNum>
  <w:abstractNum w:abstractNumId="3">
    <w:nsid w:val="2CFC78B2"/>
    <w:multiLevelType w:val="multilevel"/>
    <w:tmpl w:val="2CFC78B2"/>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4A237022"/>
    <w:multiLevelType w:val="multilevel"/>
    <w:tmpl w:val="4A23702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78EF35AB"/>
    <w:multiLevelType w:val="multilevel"/>
    <w:tmpl w:val="78EF35AB"/>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4"/>
  </w:num>
  <w:num w:numId="2">
    <w:abstractNumId w:val="5"/>
  </w:num>
  <w:num w:numId="3">
    <w:abstractNumId w:val="1"/>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4ZDk1MjU3N2U1YzQ5ZDYzYzU0ZDUwNGMyOGVmODIifQ=="/>
  </w:docVars>
  <w:rsids>
    <w:rsidRoot w:val="008427E6"/>
    <w:rsid w:val="000053F1"/>
    <w:rsid w:val="00022AEE"/>
    <w:rsid w:val="00200850"/>
    <w:rsid w:val="00256D38"/>
    <w:rsid w:val="002E3E69"/>
    <w:rsid w:val="00384A0E"/>
    <w:rsid w:val="00452ED8"/>
    <w:rsid w:val="00533DAB"/>
    <w:rsid w:val="0054277D"/>
    <w:rsid w:val="006520AF"/>
    <w:rsid w:val="006D0BF6"/>
    <w:rsid w:val="00735787"/>
    <w:rsid w:val="008427E6"/>
    <w:rsid w:val="008D6DED"/>
    <w:rsid w:val="009855B1"/>
    <w:rsid w:val="00B702CA"/>
    <w:rsid w:val="00BF6B70"/>
    <w:rsid w:val="00C120D5"/>
    <w:rsid w:val="00C27CAB"/>
    <w:rsid w:val="00CB686B"/>
    <w:rsid w:val="00D1679E"/>
    <w:rsid w:val="00DB09AD"/>
    <w:rsid w:val="00E90E8D"/>
    <w:rsid w:val="27D23D79"/>
    <w:rsid w:val="34264C4A"/>
    <w:rsid w:val="38AC2BE9"/>
    <w:rsid w:val="668B21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qFormat="1" w:uiPriority="99" w:semiHidden="0" w:name="Balloon Text"/>
    <w:lsdException w:unhideWhenUsed="0" w:uiPriority="5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link w:val="14"/>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99"/>
    <w:rPr>
      <w:sz w:val="18"/>
      <w:szCs w:val="18"/>
    </w:rPr>
  </w:style>
  <w:style w:type="character" w:customStyle="1" w:styleId="8">
    <w:name w:val="页脚 字符"/>
    <w:basedOn w:val="6"/>
    <w:link w:val="3"/>
    <w:qFormat/>
    <w:uiPriority w:val="99"/>
    <w:rPr>
      <w:sz w:val="18"/>
      <w:szCs w:val="18"/>
    </w:rPr>
  </w:style>
  <w:style w:type="paragraph" w:customStyle="1" w:styleId="9">
    <w:name w:val="Char Char Char Char Char Char Char Char Char Char Char Char Char Char Char Char Char Char Char Char Char1 Char Char Char Char Char1 Char Char Char Char"/>
    <w:basedOn w:val="1"/>
    <w:qFormat/>
    <w:uiPriority w:val="0"/>
    <w:pPr>
      <w:widowControl/>
      <w:spacing w:after="160" w:line="240" w:lineRule="exact"/>
      <w:jc w:val="center"/>
    </w:pPr>
    <w:rPr>
      <w:rFonts w:eastAsia="仿宋_GB2312"/>
      <w:spacing w:val="-6"/>
      <w:sz w:val="32"/>
      <w:szCs w:val="20"/>
    </w:rPr>
  </w:style>
  <w:style w:type="paragraph" w:customStyle="1" w:styleId="10">
    <w:name w:val="样式4"/>
    <w:basedOn w:val="1"/>
    <w:qFormat/>
    <w:uiPriority w:val="0"/>
    <w:pPr>
      <w:tabs>
        <w:tab w:val="left" w:pos="366"/>
        <w:tab w:val="left" w:pos="720"/>
      </w:tabs>
      <w:topLinePunct/>
      <w:ind w:firstLine="425"/>
    </w:pPr>
    <w:rPr>
      <w:rFonts w:eastAsia="黑体"/>
      <w:bCs/>
      <w:caps/>
      <w:kern w:val="21"/>
      <w:szCs w:val="21"/>
      <w:lang w:val="zh-CN"/>
    </w:rPr>
  </w:style>
  <w:style w:type="paragraph" w:customStyle="1" w:styleId="11">
    <w:name w:val="附表头"/>
    <w:basedOn w:val="1"/>
    <w:qFormat/>
    <w:uiPriority w:val="0"/>
    <w:pPr>
      <w:topLinePunct/>
      <w:adjustRightInd w:val="0"/>
      <w:spacing w:before="160" w:after="60"/>
      <w:jc w:val="center"/>
    </w:pPr>
    <w:rPr>
      <w:rFonts w:hAnsi="黑体" w:eastAsia="黑体"/>
      <w:kern w:val="21"/>
      <w:szCs w:val="21"/>
    </w:rPr>
  </w:style>
  <w:style w:type="paragraph" w:customStyle="1" w:styleId="12">
    <w:name w:val="List Paragraph"/>
    <w:basedOn w:val="1"/>
    <w:qFormat/>
    <w:uiPriority w:val="34"/>
    <w:pPr>
      <w:ind w:firstLine="420" w:firstLineChars="200"/>
    </w:pPr>
  </w:style>
  <w:style w:type="paragraph" w:customStyle="1" w:styleId="13">
    <w:name w:val="Char"/>
    <w:basedOn w:val="1"/>
    <w:qFormat/>
    <w:uiPriority w:val="0"/>
    <w:pPr>
      <w:widowControl/>
      <w:spacing w:after="160" w:line="240" w:lineRule="exact"/>
      <w:jc w:val="left"/>
    </w:pPr>
    <w:rPr>
      <w:rFonts w:ascii="Verdana" w:hAnsi="Verdana"/>
      <w:kern w:val="0"/>
      <w:sz w:val="20"/>
      <w:szCs w:val="20"/>
      <w:lang w:eastAsia="en-US"/>
    </w:rPr>
  </w:style>
  <w:style w:type="character" w:customStyle="1" w:styleId="14">
    <w:name w:val="批注框文本 字符"/>
    <w:basedOn w:val="6"/>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8A30B-928E-49FE-8D02-3BC01C5C966B}">
  <ds:schemaRefs/>
</ds:datastoreItem>
</file>

<file path=docProps/app.xml><?xml version="1.0" encoding="utf-8"?>
<Properties xmlns="http://schemas.openxmlformats.org/officeDocument/2006/extended-properties" xmlns:vt="http://schemas.openxmlformats.org/officeDocument/2006/docPropsVTypes">
  <Template>Normal</Template>
  <Pages>3</Pages>
  <Words>1955</Words>
  <Characters>2030</Characters>
  <Lines>15</Lines>
  <Paragraphs>4</Paragraphs>
  <TotalTime>1</TotalTime>
  <ScaleCrop>false</ScaleCrop>
  <LinksUpToDate>false</LinksUpToDate>
  <CharactersWithSpaces>2066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2016-09-28T02:41:00Z</dcterms:created>
  <dc:creator>20160729-1</dc:creator>
  <cp:lastModifiedBy>天</cp:lastModifiedBy>
  <cp:lastPrinted>2023-05-25T07:58:31Z</cp:lastPrinted>
  <dcterms:modified xsi:type="dcterms:W3CDTF">2023-05-25T07:59:23Z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83C5F1801F44449B8C4FE86FF4881FCC_13</vt:lpwstr>
  </property>
</Properties>
</file>