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73C62">
      <w:pPr>
        <w:pStyle w:val="11"/>
        <w:rPr>
          <w:sz w:val="28"/>
          <w:szCs w:val="28"/>
        </w:rPr>
      </w:pPr>
      <w:r>
        <w:rPr>
          <w:rFonts w:hint="eastAsia"/>
          <w:sz w:val="28"/>
          <w:szCs w:val="28"/>
        </w:rPr>
        <w:t>质量</w:t>
      </w:r>
      <w:r>
        <w:rPr>
          <w:rFonts w:hint="eastAsia"/>
          <w:b/>
          <w:sz w:val="28"/>
          <w:szCs w:val="28"/>
        </w:rPr>
        <w:t>/</w:t>
      </w:r>
      <w:r>
        <w:rPr>
          <w:rFonts w:hint="eastAsia"/>
          <w:sz w:val="28"/>
          <w:szCs w:val="28"/>
        </w:rPr>
        <w:t>安全活动记录</w:t>
      </w:r>
    </w:p>
    <w:p w14:paraId="492B27C6">
      <w:pPr>
        <w:tabs>
          <w:tab w:val="left" w:pos="6237"/>
        </w:tabs>
        <w:topLinePunct/>
        <w:jc w:val="left"/>
        <w:rPr>
          <w:rFonts w:hint="eastAsia" w:ascii="宋体" w:hAnsi="宋体" w:cs="Times New Roman"/>
          <w:sz w:val="24"/>
          <w:szCs w:val="24"/>
          <w:u w:val="none"/>
          <w:lang w:val="en-US" w:eastAsia="zh-CN"/>
        </w:rPr>
      </w:pPr>
      <w:r>
        <w:rPr>
          <w:rFonts w:hint="eastAsia" w:eastAsia="宋体"/>
          <w:sz w:val="24"/>
          <w:lang w:val="en-US" w:eastAsia="zh-CN"/>
        </w:rPr>
        <w:t>工程名称：</w:t>
      </w:r>
      <w:bookmarkStart w:id="0" w:name="_Toc6169"/>
      <w:r>
        <w:rPr>
          <w:rFonts w:hint="eastAsia" w:ascii="宋体" w:hAnsi="宋体" w:cs="Times New Roman"/>
          <w:sz w:val="24"/>
          <w:szCs w:val="24"/>
          <w:u w:val="none"/>
          <w:lang w:val="en-US" w:eastAsia="zh-CN"/>
        </w:rPr>
        <w:t>宁波前湾</w:t>
      </w:r>
      <w:bookmarkEnd w:id="0"/>
      <w:r>
        <w:rPr>
          <w:rFonts w:hint="eastAsia" w:ascii="宋体" w:hAnsi="宋体" w:cs="Times New Roman"/>
          <w:sz w:val="24"/>
          <w:szCs w:val="24"/>
          <w:u w:val="none"/>
          <w:lang w:val="en-US" w:eastAsia="zh-CN"/>
        </w:rPr>
        <w:t>新区战略新兴产业园首开区D地块（一期）918KWp、E地块      （一期）1.46MWp分布式光伏发电项目</w:t>
      </w:r>
    </w:p>
    <w:p w14:paraId="51FA4E6A">
      <w:pPr>
        <w:tabs>
          <w:tab w:val="left" w:pos="6237"/>
        </w:tabs>
        <w:topLinePunct/>
        <w:jc w:val="left"/>
        <w:rPr>
          <w:kern w:val="21"/>
          <w:sz w:val="24"/>
        </w:rPr>
      </w:pPr>
      <w:r>
        <w:rPr>
          <w:rFonts w:hint="eastAsia" w:eastAsia="宋体"/>
          <w:sz w:val="24"/>
          <w:lang w:val="en-US" w:eastAsia="zh-CN"/>
        </w:rPr>
        <w:t>编号：ZHJL-</w:t>
      </w:r>
      <w:r>
        <w:rPr>
          <w:rFonts w:hint="eastAsia"/>
          <w:sz w:val="24"/>
          <w:lang w:val="en-US" w:eastAsia="zh-CN"/>
        </w:rPr>
        <w:t>ZXYDEDK01</w:t>
      </w:r>
      <w:r>
        <w:rPr>
          <w:rFonts w:hint="eastAsia" w:eastAsia="宋体"/>
          <w:sz w:val="24"/>
          <w:lang w:val="en-US" w:eastAsia="zh-CN"/>
        </w:rPr>
        <w:t>-ZLAQ-00</w:t>
      </w:r>
      <w:r>
        <w:rPr>
          <w:rFonts w:hint="eastAsia"/>
          <w:sz w:val="24"/>
          <w:lang w:val="en-US" w:eastAsia="zh-CN"/>
        </w:rPr>
        <w:t>1</w:t>
      </w:r>
      <w:r>
        <w:rPr>
          <w:rFonts w:hint="eastAsia" w:eastAsia="宋体"/>
          <w:sz w:val="24"/>
          <w:lang w:val="en-US" w:eastAsia="zh-CN"/>
        </w:rPr>
        <w:t xml:space="preserve"> </w:t>
      </w:r>
      <w:r>
        <w:rPr>
          <w:rFonts w:hint="eastAsia" w:ascii="宋体" w:hAnsi="宋体" w:eastAsia="宋体" w:cs="宋体"/>
          <w:sz w:val="21"/>
          <w:szCs w:val="21"/>
          <w:lang w:val="en-US" w:eastAsia="zh-CN"/>
        </w:rPr>
        <w:t xml:space="preserve">  </w:t>
      </w:r>
      <w:r>
        <w:rPr>
          <w:rFonts w:hint="eastAsia"/>
          <w:kern w:val="21"/>
          <w:sz w:val="24"/>
        </w:rPr>
        <w:tab/>
      </w:r>
    </w:p>
    <w:tbl>
      <w:tblPr>
        <w:tblStyle w:val="7"/>
        <w:tblW w:w="83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1907"/>
        <w:gridCol w:w="6412"/>
      </w:tblGrid>
      <w:tr w14:paraId="63250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5" w:hRule="atLeast"/>
          <w:jc w:val="center"/>
        </w:trPr>
        <w:tc>
          <w:tcPr>
            <w:tcW w:w="1907" w:type="dxa"/>
            <w:tcMar>
              <w:top w:w="0" w:type="dxa"/>
              <w:left w:w="85" w:type="dxa"/>
              <w:bottom w:w="0" w:type="dxa"/>
              <w:right w:w="85" w:type="dxa"/>
            </w:tcMar>
            <w:vAlign w:val="center"/>
          </w:tcPr>
          <w:p w14:paraId="030DC071">
            <w:pPr>
              <w:topLinePunct/>
              <w:snapToGrid w:val="0"/>
              <w:spacing w:before="60" w:after="60"/>
              <w:jc w:val="center"/>
              <w:rPr>
                <w:sz w:val="24"/>
              </w:rPr>
            </w:pPr>
            <w:r>
              <w:rPr>
                <w:rFonts w:hint="eastAsia"/>
                <w:sz w:val="24"/>
              </w:rPr>
              <w:t>活动时间</w:t>
            </w:r>
          </w:p>
        </w:tc>
        <w:tc>
          <w:tcPr>
            <w:tcW w:w="6412" w:type="dxa"/>
            <w:tcMar>
              <w:top w:w="0" w:type="dxa"/>
              <w:left w:w="85" w:type="dxa"/>
              <w:bottom w:w="0" w:type="dxa"/>
              <w:right w:w="85" w:type="dxa"/>
            </w:tcMar>
            <w:vAlign w:val="center"/>
          </w:tcPr>
          <w:p w14:paraId="33A7E195">
            <w:pPr>
              <w:topLinePunct/>
              <w:snapToGrid w:val="0"/>
              <w:spacing w:before="60" w:after="60"/>
              <w:jc w:val="center"/>
              <w:rPr>
                <w:sz w:val="24"/>
              </w:rPr>
            </w:pPr>
            <w:r>
              <w:rPr>
                <w:rFonts w:hint="eastAsia"/>
                <w:sz w:val="24"/>
              </w:rPr>
              <w:t>20</w:t>
            </w:r>
            <w:r>
              <w:rPr>
                <w:rFonts w:hint="eastAsia"/>
                <w:sz w:val="24"/>
                <w:lang w:val="en-US" w:eastAsia="zh-CN"/>
              </w:rPr>
              <w:t>24</w:t>
            </w:r>
            <w:r>
              <w:rPr>
                <w:rFonts w:hint="eastAsia"/>
                <w:sz w:val="24"/>
              </w:rPr>
              <w:t>.</w:t>
            </w:r>
            <w:r>
              <w:rPr>
                <w:rFonts w:hint="eastAsia"/>
                <w:sz w:val="24"/>
                <w:lang w:val="en-US" w:eastAsia="zh-CN"/>
              </w:rPr>
              <w:t>09</w:t>
            </w:r>
            <w:r>
              <w:rPr>
                <w:rFonts w:hint="eastAsia"/>
                <w:sz w:val="24"/>
              </w:rPr>
              <w:t>.</w:t>
            </w:r>
            <w:r>
              <w:rPr>
                <w:rFonts w:hint="eastAsia"/>
                <w:sz w:val="24"/>
                <w:lang w:val="en-US" w:eastAsia="zh-CN"/>
              </w:rPr>
              <w:t>3</w:t>
            </w:r>
            <w:r>
              <w:rPr>
                <w:rFonts w:hint="eastAsia"/>
                <w:sz w:val="24"/>
              </w:rPr>
              <w:t>0</w:t>
            </w:r>
            <w:bookmarkStart w:id="1" w:name="_GoBack"/>
            <w:bookmarkEnd w:id="1"/>
          </w:p>
        </w:tc>
      </w:tr>
      <w:tr w14:paraId="776D5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6" w:hRule="atLeast"/>
          <w:jc w:val="center"/>
        </w:trPr>
        <w:tc>
          <w:tcPr>
            <w:tcW w:w="1907" w:type="dxa"/>
            <w:tcMar>
              <w:top w:w="0" w:type="dxa"/>
              <w:left w:w="85" w:type="dxa"/>
              <w:bottom w:w="0" w:type="dxa"/>
              <w:right w:w="85" w:type="dxa"/>
            </w:tcMar>
            <w:vAlign w:val="center"/>
          </w:tcPr>
          <w:p w14:paraId="3ADF9EA0">
            <w:pPr>
              <w:topLinePunct/>
              <w:snapToGrid w:val="0"/>
              <w:spacing w:before="60" w:after="60"/>
              <w:jc w:val="center"/>
              <w:rPr>
                <w:sz w:val="24"/>
              </w:rPr>
            </w:pPr>
            <w:r>
              <w:rPr>
                <w:rFonts w:hint="eastAsia"/>
                <w:sz w:val="24"/>
              </w:rPr>
              <w:t>活动地点</w:t>
            </w:r>
          </w:p>
        </w:tc>
        <w:tc>
          <w:tcPr>
            <w:tcW w:w="6412" w:type="dxa"/>
            <w:tcMar>
              <w:top w:w="0" w:type="dxa"/>
              <w:left w:w="85" w:type="dxa"/>
              <w:bottom w:w="0" w:type="dxa"/>
              <w:right w:w="85" w:type="dxa"/>
            </w:tcMar>
            <w:vAlign w:val="center"/>
          </w:tcPr>
          <w:p w14:paraId="16944F53">
            <w:pPr>
              <w:topLinePunct/>
              <w:snapToGrid w:val="0"/>
              <w:spacing w:before="60" w:after="60"/>
              <w:jc w:val="center"/>
              <w:rPr>
                <w:sz w:val="24"/>
              </w:rPr>
            </w:pPr>
            <w:r>
              <w:rPr>
                <w:rFonts w:hint="eastAsia"/>
                <w:sz w:val="24"/>
              </w:rPr>
              <w:t>项目部会议室</w:t>
            </w:r>
          </w:p>
        </w:tc>
      </w:tr>
      <w:tr w14:paraId="36F84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6" w:hRule="atLeast"/>
          <w:jc w:val="center"/>
        </w:trPr>
        <w:tc>
          <w:tcPr>
            <w:tcW w:w="1907" w:type="dxa"/>
            <w:tcMar>
              <w:top w:w="0" w:type="dxa"/>
              <w:left w:w="85" w:type="dxa"/>
              <w:bottom w:w="0" w:type="dxa"/>
              <w:right w:w="85" w:type="dxa"/>
            </w:tcMar>
            <w:vAlign w:val="center"/>
          </w:tcPr>
          <w:p w14:paraId="36ABB731">
            <w:pPr>
              <w:topLinePunct/>
              <w:snapToGrid w:val="0"/>
              <w:spacing w:before="60" w:after="60"/>
              <w:jc w:val="center"/>
              <w:rPr>
                <w:sz w:val="24"/>
              </w:rPr>
            </w:pPr>
            <w:r>
              <w:rPr>
                <w:rFonts w:hint="eastAsia"/>
                <w:sz w:val="24"/>
              </w:rPr>
              <w:t>主持（交底）人</w:t>
            </w:r>
          </w:p>
        </w:tc>
        <w:tc>
          <w:tcPr>
            <w:tcW w:w="6412" w:type="dxa"/>
            <w:tcMar>
              <w:top w:w="0" w:type="dxa"/>
              <w:left w:w="85" w:type="dxa"/>
              <w:bottom w:w="0" w:type="dxa"/>
              <w:right w:w="85" w:type="dxa"/>
            </w:tcMar>
            <w:vAlign w:val="center"/>
          </w:tcPr>
          <w:p w14:paraId="6A58C67D">
            <w:pPr>
              <w:topLinePunct/>
              <w:snapToGrid w:val="0"/>
              <w:spacing w:before="60" w:after="60"/>
              <w:jc w:val="center"/>
              <w:rPr>
                <w:rFonts w:hint="default" w:eastAsia="宋体"/>
                <w:sz w:val="24"/>
                <w:lang w:val="en-US" w:eastAsia="zh-CN"/>
              </w:rPr>
            </w:pPr>
            <w:r>
              <w:rPr>
                <w:rFonts w:hint="eastAsia"/>
                <w:sz w:val="24"/>
                <w:lang w:val="en-US" w:eastAsia="zh-CN"/>
              </w:rPr>
              <w:t>戚平</w:t>
            </w:r>
          </w:p>
        </w:tc>
      </w:tr>
      <w:tr w14:paraId="780CF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388" w:hRule="atLeast"/>
          <w:jc w:val="center"/>
        </w:trPr>
        <w:tc>
          <w:tcPr>
            <w:tcW w:w="8319" w:type="dxa"/>
            <w:gridSpan w:val="2"/>
            <w:tcMar>
              <w:top w:w="0" w:type="dxa"/>
              <w:left w:w="85" w:type="dxa"/>
              <w:bottom w:w="0" w:type="dxa"/>
              <w:right w:w="85" w:type="dxa"/>
            </w:tcMar>
          </w:tcPr>
          <w:p w14:paraId="04F4DA5E">
            <w:pPr>
              <w:pStyle w:val="6"/>
              <w:tabs>
                <w:tab w:val="center" w:pos="4156"/>
              </w:tabs>
              <w:spacing w:before="156" w:beforeLines="50" w:line="360" w:lineRule="auto"/>
              <w:jc w:val="left"/>
              <w:rPr>
                <w:rFonts w:hint="eastAsia" w:ascii="宋体" w:hAnsi="宋体"/>
                <w:b/>
                <w:bCs/>
                <w:sz w:val="24"/>
                <w:szCs w:val="24"/>
                <w:lang w:val="en-US" w:eastAsia="zh-CN"/>
              </w:rPr>
            </w:pPr>
            <w:r>
              <w:rPr>
                <w:rFonts w:hint="eastAsia" w:ascii="宋体" w:hAnsi="宋体"/>
                <w:sz w:val="24"/>
                <w:szCs w:val="24"/>
              </w:rPr>
              <w:t>内容：</w:t>
            </w:r>
            <w:r>
              <w:rPr>
                <w:rFonts w:hint="eastAsia" w:ascii="宋体" w:hAnsi="宋体"/>
                <w:sz w:val="24"/>
                <w:szCs w:val="24"/>
                <w:lang w:val="en-US" w:eastAsia="zh-CN"/>
              </w:rPr>
              <w:t>一，</w:t>
            </w:r>
            <w:r>
              <w:rPr>
                <w:rFonts w:hint="eastAsia" w:ascii="宋体" w:hAnsi="宋体"/>
                <w:b/>
                <w:bCs/>
                <w:sz w:val="24"/>
                <w:szCs w:val="24"/>
                <w:lang w:val="en-US" w:eastAsia="zh-CN"/>
              </w:rPr>
              <w:t>安全管理内容</w:t>
            </w:r>
          </w:p>
          <w:p w14:paraId="10453157">
            <w:pPr>
              <w:pStyle w:val="6"/>
              <w:tabs>
                <w:tab w:val="center" w:pos="4156"/>
              </w:tabs>
              <w:spacing w:before="156" w:beforeLines="50" w:line="360" w:lineRule="auto"/>
              <w:jc w:val="left"/>
              <w:rPr>
                <w:rFonts w:hint="default" w:ascii="宋体" w:hAnsi="宋体"/>
                <w:b/>
                <w:bCs/>
                <w:sz w:val="24"/>
                <w:szCs w:val="24"/>
                <w:lang w:val="en-US" w:eastAsia="zh-CN"/>
              </w:rPr>
            </w:pPr>
            <w:r>
              <w:rPr>
                <w:rFonts w:hint="eastAsia" w:ascii="SimSong Regular" w:hAnsi="SimSong Regular" w:eastAsia="SimSong Regular" w:cs="SimSong Regular"/>
                <w:b w:val="0"/>
                <w:i w:val="0"/>
                <w:caps w:val="0"/>
                <w:color w:val="000000"/>
                <w:spacing w:val="0"/>
                <w:sz w:val="24"/>
                <w:szCs w:val="24"/>
                <w:shd w:val="clear" w:fill="FFFFFF"/>
                <w:lang w:val="en-US" w:eastAsia="zh-CN"/>
              </w:rPr>
              <w:t>1，</w:t>
            </w:r>
            <w:r>
              <w:rPr>
                <w:rFonts w:hint="eastAsia" w:ascii="SimSong Regular" w:hAnsi="SimSong Regular" w:eastAsia="SimSong Regular" w:cs="SimSong Regular"/>
                <w:b w:val="0"/>
                <w:i w:val="0"/>
                <w:caps w:val="0"/>
                <w:color w:val="000000"/>
                <w:spacing w:val="0"/>
                <w:sz w:val="24"/>
                <w:szCs w:val="24"/>
                <w:shd w:val="clear" w:fill="FFFFFF"/>
              </w:rPr>
              <w:t>安全生产岗位责任制、安全管理目标、施工组织设计中安全管理措施、施工安全技术交底、安全教育制度、新进场工人安全教育、安全管理机构及专职安全管理人员、安全生产操作规程、班前安全活动制度、书面告知危险岗位的操作规程和违章作业的危害。</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2</w:t>
            </w:r>
            <w:r>
              <w:rPr>
                <w:rFonts w:hint="eastAsia" w:ascii="SimSong Regular" w:hAnsi="SimSong Regular" w:eastAsia="SimSong Regular" w:cs="SimSong Regular"/>
                <w:b w:val="0"/>
                <w:i w:val="0"/>
                <w:caps w:val="0"/>
                <w:color w:val="000000"/>
                <w:spacing w:val="0"/>
                <w:sz w:val="24"/>
                <w:szCs w:val="24"/>
                <w:shd w:val="clear" w:fill="FFFFFF"/>
                <w:lang w:eastAsia="zh-CN"/>
              </w:rPr>
              <w:t>，</w:t>
            </w:r>
            <w:r>
              <w:rPr>
                <w:rFonts w:hint="eastAsia" w:ascii="SimSong Regular" w:hAnsi="SimSong Regular" w:eastAsia="SimSong Regular" w:cs="SimSong Regular"/>
                <w:b w:val="0"/>
                <w:i w:val="0"/>
                <w:caps w:val="0"/>
                <w:color w:val="000000"/>
                <w:spacing w:val="0"/>
                <w:sz w:val="24"/>
                <w:szCs w:val="24"/>
                <w:shd w:val="clear" w:fill="FFFFFF"/>
              </w:rPr>
              <w:t>现场安全警示标志：现场出入口、起重机械、高处作业、吊装作业、脚手架出入口、电梯井口、孔洞口、基坑边、每个临时用电设施。</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3</w:t>
            </w:r>
            <w:r>
              <w:rPr>
                <w:rFonts w:hint="eastAsia" w:ascii="SimSong Regular" w:hAnsi="SimSong Regular" w:eastAsia="SimSong Regular" w:cs="SimSong Regular"/>
                <w:b w:val="0"/>
                <w:i w:val="0"/>
                <w:caps w:val="0"/>
                <w:color w:val="000000"/>
                <w:spacing w:val="0"/>
                <w:sz w:val="24"/>
                <w:szCs w:val="24"/>
                <w:shd w:val="clear" w:fill="FFFFFF"/>
                <w:lang w:eastAsia="zh-CN"/>
              </w:rPr>
              <w:t>，</w:t>
            </w:r>
            <w:r>
              <w:rPr>
                <w:rFonts w:hint="eastAsia" w:ascii="SimSong Regular" w:hAnsi="SimSong Regular" w:eastAsia="SimSong Regular" w:cs="SimSong Regular"/>
                <w:b w:val="0"/>
                <w:i w:val="0"/>
                <w:caps w:val="0"/>
                <w:color w:val="000000"/>
                <w:spacing w:val="0"/>
                <w:sz w:val="24"/>
                <w:szCs w:val="24"/>
                <w:shd w:val="clear" w:fill="FFFFFF"/>
              </w:rPr>
              <w:t>持证上岗人员：卷扬机操作人员、起重信号工、登高架设作业人员、电工、焊工。</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4</w:t>
            </w:r>
            <w:r>
              <w:rPr>
                <w:rFonts w:hint="eastAsia" w:ascii="SimSong Regular" w:hAnsi="SimSong Regular" w:eastAsia="SimSong Regular" w:cs="SimSong Regular"/>
                <w:b w:val="0"/>
                <w:i w:val="0"/>
                <w:caps w:val="0"/>
                <w:color w:val="000000"/>
                <w:spacing w:val="0"/>
                <w:sz w:val="24"/>
                <w:szCs w:val="24"/>
                <w:shd w:val="clear" w:fill="FFFFFF"/>
                <w:lang w:eastAsia="zh-CN"/>
              </w:rPr>
              <w:t>，</w:t>
            </w:r>
            <w:r>
              <w:rPr>
                <w:rFonts w:hint="eastAsia" w:ascii="SimSong Regular" w:hAnsi="SimSong Regular" w:eastAsia="SimSong Regular" w:cs="SimSong Regular"/>
                <w:b w:val="0"/>
                <w:i w:val="0"/>
                <w:caps w:val="0"/>
                <w:color w:val="000000"/>
                <w:spacing w:val="0"/>
                <w:sz w:val="24"/>
                <w:szCs w:val="24"/>
                <w:shd w:val="clear" w:fill="FFFFFF"/>
              </w:rPr>
              <w:t>现场办公、生活区与作业的安全距离；临时建筑应安全；在建工程不得兼做宿舍；工地出入口应符合交通管理要求；施工可能影响管道、高压线路的防范措施</w:t>
            </w:r>
            <w:r>
              <w:rPr>
                <w:rFonts w:hint="eastAsia" w:asciiTheme="minorEastAsia" w:hAnsiTheme="minorEastAsia" w:eastAsiaTheme="minorEastAsia" w:cstheme="minorEastAsia"/>
                <w:b w:val="0"/>
                <w:i w:val="0"/>
                <w:caps w:val="0"/>
                <w:color w:val="000000"/>
                <w:spacing w:val="0"/>
                <w:sz w:val="24"/>
                <w:szCs w:val="24"/>
                <w:shd w:val="clear" w:fill="FFFFFF"/>
              </w:rPr>
              <w:t>。</w:t>
            </w:r>
          </w:p>
          <w:p w14:paraId="1D1BD57E">
            <w:pPr>
              <w:pStyle w:val="6"/>
              <w:tabs>
                <w:tab w:val="center" w:pos="4156"/>
              </w:tabs>
              <w:spacing w:before="156" w:beforeLines="50" w:line="360" w:lineRule="auto"/>
              <w:jc w:val="left"/>
              <w:rPr>
                <w:rFonts w:hint="default" w:ascii="宋体" w:hAnsi="宋体" w:eastAsia="宋体"/>
                <w:sz w:val="24"/>
                <w:szCs w:val="24"/>
                <w:lang w:val="en-US" w:eastAsia="zh-CN"/>
              </w:rPr>
            </w:pPr>
            <w:r>
              <w:rPr>
                <w:rFonts w:hint="eastAsia" w:ascii="宋体" w:hAnsi="宋体"/>
                <w:sz w:val="28"/>
                <w:szCs w:val="28"/>
                <w:lang w:val="en-US" w:eastAsia="zh-CN"/>
              </w:rPr>
              <w:t>二，</w:t>
            </w:r>
            <w:r>
              <w:rPr>
                <w:rFonts w:hint="eastAsia" w:ascii="宋体" w:hAnsi="宋体"/>
                <w:b/>
                <w:bCs/>
                <w:sz w:val="24"/>
                <w:szCs w:val="24"/>
                <w:lang w:val="en-US" w:eastAsia="zh-CN"/>
              </w:rPr>
              <w:t>安全检查工作内容</w:t>
            </w:r>
          </w:p>
          <w:p w14:paraId="629447B2">
            <w:pPr>
              <w:pStyle w:val="6"/>
              <w:tabs>
                <w:tab w:val="center" w:pos="4156"/>
              </w:tabs>
              <w:spacing w:before="156" w:beforeLines="50" w:line="360" w:lineRule="auto"/>
              <w:jc w:val="left"/>
              <w:rPr>
                <w:rFonts w:hint="eastAsia" w:ascii="SimSong Regular" w:hAnsi="SimSong Regular" w:eastAsia="SimSong Regular" w:cs="SimSong Regular"/>
                <w:b w:val="0"/>
                <w:i w:val="0"/>
                <w:caps w:val="0"/>
                <w:color w:val="000000"/>
                <w:spacing w:val="0"/>
                <w:sz w:val="24"/>
                <w:szCs w:val="24"/>
                <w:shd w:val="clear" w:fill="FFFFFF"/>
              </w:rPr>
            </w:pPr>
            <w:r>
              <w:rPr>
                <w:rFonts w:hint="eastAsia" w:ascii="SimSong Regular" w:hAnsi="SimSong Regular" w:eastAsia="SimSong Regular" w:cs="SimSong Regular"/>
                <w:b w:val="0"/>
                <w:i w:val="0"/>
                <w:caps w:val="0"/>
                <w:color w:val="000000"/>
                <w:spacing w:val="0"/>
                <w:sz w:val="24"/>
                <w:szCs w:val="24"/>
                <w:shd w:val="clear" w:fill="FFFFFF"/>
                <w:lang w:val="en-US" w:eastAsia="zh-CN"/>
              </w:rPr>
              <w:t>1，</w:t>
            </w:r>
            <w:r>
              <w:rPr>
                <w:rFonts w:hint="eastAsia" w:ascii="SimSong Regular" w:hAnsi="SimSong Regular" w:eastAsia="SimSong Regular" w:cs="SimSong Regular"/>
                <w:b w:val="0"/>
                <w:i w:val="0"/>
                <w:caps w:val="0"/>
                <w:color w:val="000000"/>
                <w:spacing w:val="0"/>
                <w:sz w:val="24"/>
                <w:szCs w:val="24"/>
                <w:shd w:val="clear" w:fill="FFFFFF"/>
              </w:rPr>
              <w:t>检查施工承包单位安全生产保证体系的运行及专职安全生产管理人员的到岗和工作情况</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2、监督施工承包单位按照国家有关法规、法律、工程建设强制性标准和经审查同意的施工组织设计或专项施工方案组织施工，制定违规作业。</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3、对施工现场安全生产情况进行巡视检查，监督施工承包单位落实各项安全措施。发现有违规施工和存在安全隐患的，应当要求施工承包单位整改；情况严重的，有总监理工程师下达工程暂停令，并报告建设单位；施工单位拒不整改或者不停止施工的，应及时向安全监督部门进行书面报告。</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4、检查施工承包单位施工机械、安全设施的合格证、检测、验收、准用手续（须持原件），对手续不完备的不准投入使用。</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5、督促施工承包单位定期进行安全生产自查工作（班组检查、项目部检查、公司检查）。</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6、监督施工承包单位做好“四口”、“ 五临边”,高处作业等危险部位的安全防护工作，并设置明显的安全警示标志；检查施工单位对现场的防洪、防雷、防滑坡、坠落物等有效控制，建立良好的工作环境。</w:t>
            </w:r>
            <w:r>
              <w:rPr>
                <w:rFonts w:hint="eastAsia" w:asciiTheme="minorEastAsia" w:hAnsiTheme="minorEastAsia" w:eastAsiaTheme="minorEastAsia" w:cstheme="minorEastAsia"/>
                <w:b w:val="0"/>
                <w:i w:val="0"/>
                <w:caps w:val="0"/>
                <w:color w:val="000000"/>
                <w:spacing w:val="0"/>
                <w:sz w:val="24"/>
                <w:szCs w:val="24"/>
                <w:shd w:val="clear" w:fill="FFFFFF"/>
              </w:rPr>
              <w:br w:type="textWrapping"/>
            </w:r>
            <w:r>
              <w:rPr>
                <w:rFonts w:hint="eastAsia" w:asciiTheme="minorEastAsia" w:hAnsiTheme="minorEastAsia" w:eastAsiaTheme="minorEastAsia" w:cstheme="minorEastAsia"/>
                <w:b w:val="0"/>
                <w:i w:val="0"/>
                <w:caps w:val="0"/>
                <w:color w:val="000000"/>
                <w:spacing w:val="0"/>
                <w:sz w:val="24"/>
                <w:szCs w:val="24"/>
                <w:shd w:val="clear" w:fill="FFFFFF"/>
              </w:rPr>
              <w:t>7、</w:t>
            </w:r>
            <w:r>
              <w:rPr>
                <w:rFonts w:hint="eastAsia" w:ascii="SimSong Regular" w:hAnsi="SimSong Regular" w:eastAsia="SimSong Regular" w:cs="SimSong Regular"/>
                <w:b w:val="0"/>
                <w:i w:val="0"/>
                <w:caps w:val="0"/>
                <w:color w:val="000000"/>
                <w:spacing w:val="0"/>
                <w:sz w:val="24"/>
                <w:szCs w:val="24"/>
                <w:shd w:val="clear" w:fill="FFFFFF"/>
              </w:rPr>
              <w:t>在定期召开的监理会议上，将安全生产列入会议主要内容之一，评述现场安全生产现状和存在问题，提出整改要求，制定预防措施，使安全生产落实到实处。</w:t>
            </w:r>
          </w:p>
          <w:p w14:paraId="0FB108B1">
            <w:pPr>
              <w:pStyle w:val="6"/>
              <w:numPr>
                <w:ilvl w:val="0"/>
                <w:numId w:val="1"/>
              </w:numPr>
              <w:tabs>
                <w:tab w:val="center" w:pos="4156"/>
              </w:tabs>
              <w:spacing w:before="156" w:beforeLines="50" w:line="360" w:lineRule="auto"/>
              <w:jc w:val="left"/>
              <w:rPr>
                <w:rFonts w:hint="default" w:ascii="SimSong Regular" w:hAnsi="SimSong Regular" w:eastAsia="SimSong Regular" w:cs="SimSong Regular"/>
                <w:b w:val="0"/>
                <w:i w:val="0"/>
                <w:caps w:val="0"/>
                <w:color w:val="000000"/>
                <w:spacing w:val="0"/>
                <w:sz w:val="24"/>
                <w:szCs w:val="24"/>
                <w:shd w:val="clear" w:fill="FFFFFF"/>
                <w:lang w:val="en-US" w:eastAsia="zh-CN"/>
              </w:rPr>
            </w:pPr>
            <w:r>
              <w:rPr>
                <w:rFonts w:hint="eastAsia" w:ascii="SimSong Regular" w:hAnsi="SimSong Regular" w:eastAsia="SimSong Regular" w:cs="SimSong Regular"/>
                <w:b w:val="0"/>
                <w:i w:val="0"/>
                <w:caps w:val="0"/>
                <w:color w:val="000000"/>
                <w:spacing w:val="0"/>
                <w:sz w:val="24"/>
                <w:szCs w:val="24"/>
                <w:shd w:val="clear" w:fill="FFFFFF"/>
              </w:rPr>
              <w:t>对高空作业，易发生安全事故源和薄弱环节等作为安全监理工作重点，宜采取旁站监理、跟踪检查和平行检验等手段，加大监督力度。</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9、检查安全文明施工措施费的使用情况，督促施工承包按安全文明施工措施费规定正确使用，及时投入并必须用于安全措施上。对未按照规定使用该费用的或挪作他用的，总监理工程师应予以制止，并向建设单位报告。</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10、督促施工承包单位进行自查自评。监理根据现场安全实况和自查自评情况，认真、公正地进行审查评价，填写有关报表，并报送当地建设行政主管部门或其授权的建设工程安全监督管理机构（部门）备案。</w:t>
            </w:r>
            <w:r>
              <w:rPr>
                <w:rFonts w:hint="eastAsia" w:ascii="SimSong Regular" w:hAnsi="SimSong Regular" w:eastAsia="SimSong Regular" w:cs="SimSong Regular"/>
                <w:b w:val="0"/>
                <w:i w:val="0"/>
                <w:caps w:val="0"/>
                <w:color w:val="000000"/>
                <w:spacing w:val="0"/>
                <w:sz w:val="24"/>
                <w:szCs w:val="24"/>
                <w:shd w:val="clear" w:fill="FFFFFF"/>
              </w:rPr>
              <w:br w:type="textWrapping"/>
            </w:r>
            <w:r>
              <w:rPr>
                <w:rFonts w:hint="eastAsia" w:ascii="SimSong Regular" w:hAnsi="SimSong Regular" w:eastAsia="SimSong Regular" w:cs="SimSong Regular"/>
                <w:b w:val="0"/>
                <w:i w:val="0"/>
                <w:caps w:val="0"/>
                <w:color w:val="000000"/>
                <w:spacing w:val="0"/>
                <w:sz w:val="24"/>
                <w:szCs w:val="24"/>
                <w:shd w:val="clear" w:fill="FFFFFF"/>
              </w:rPr>
              <w:t>11、发生重大安全事故或突发性事件时，应当立即下达工程暂停令，并督促施工承包单位立即向当地建设行政主管部门（安全监督部门）和有关部门报告；配合有关单位做好应急救援和现场保护工作；协助有关部门对事故进行调查处理。</w:t>
            </w:r>
          </w:p>
        </w:tc>
      </w:tr>
      <w:tr w14:paraId="0DAF9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609" w:hRule="atLeast"/>
          <w:jc w:val="center"/>
        </w:trPr>
        <w:tc>
          <w:tcPr>
            <w:tcW w:w="1907" w:type="dxa"/>
            <w:tcMar>
              <w:top w:w="0" w:type="dxa"/>
              <w:left w:w="85" w:type="dxa"/>
              <w:bottom w:w="0" w:type="dxa"/>
              <w:right w:w="85" w:type="dxa"/>
            </w:tcMar>
            <w:vAlign w:val="center"/>
          </w:tcPr>
          <w:p w14:paraId="6D526ECC">
            <w:pPr>
              <w:topLinePunct/>
              <w:snapToGrid w:val="0"/>
              <w:spacing w:before="60" w:after="60"/>
              <w:jc w:val="center"/>
              <w:rPr>
                <w:sz w:val="18"/>
                <w:szCs w:val="18"/>
              </w:rPr>
            </w:pPr>
            <w:r>
              <w:rPr>
                <w:rFonts w:hint="eastAsia"/>
                <w:sz w:val="18"/>
                <w:szCs w:val="18"/>
              </w:rPr>
              <w:t>参加人</w:t>
            </w:r>
            <w:r>
              <w:rPr>
                <w:sz w:val="18"/>
                <w:szCs w:val="18"/>
              </w:rPr>
              <w:t>（签字）</w:t>
            </w:r>
          </w:p>
        </w:tc>
        <w:tc>
          <w:tcPr>
            <w:tcW w:w="6412" w:type="dxa"/>
            <w:tcMar>
              <w:top w:w="0" w:type="dxa"/>
              <w:left w:w="85" w:type="dxa"/>
              <w:bottom w:w="0" w:type="dxa"/>
              <w:right w:w="85" w:type="dxa"/>
            </w:tcMar>
            <w:vAlign w:val="center"/>
          </w:tcPr>
          <w:p w14:paraId="20109F5B">
            <w:pPr>
              <w:topLinePunct/>
              <w:snapToGrid w:val="0"/>
              <w:spacing w:before="60" w:after="60"/>
              <w:jc w:val="center"/>
              <w:rPr>
                <w:sz w:val="18"/>
                <w:szCs w:val="18"/>
              </w:rPr>
            </w:pPr>
          </w:p>
          <w:p w14:paraId="4CA49274">
            <w:pPr>
              <w:topLinePunct/>
              <w:snapToGrid w:val="0"/>
              <w:spacing w:before="60" w:after="60"/>
              <w:jc w:val="center"/>
              <w:rPr>
                <w:sz w:val="18"/>
                <w:szCs w:val="18"/>
              </w:rPr>
            </w:pPr>
          </w:p>
          <w:p w14:paraId="1C1962E1">
            <w:pPr>
              <w:topLinePunct/>
              <w:snapToGrid w:val="0"/>
              <w:spacing w:before="60" w:after="60"/>
              <w:jc w:val="center"/>
              <w:rPr>
                <w:sz w:val="18"/>
                <w:szCs w:val="18"/>
              </w:rPr>
            </w:pPr>
          </w:p>
          <w:p w14:paraId="3CD74FD6">
            <w:pPr>
              <w:topLinePunct/>
              <w:snapToGrid w:val="0"/>
              <w:spacing w:before="60" w:after="60"/>
              <w:jc w:val="center"/>
              <w:rPr>
                <w:rFonts w:hint="eastAsia" w:eastAsia="宋体"/>
                <w:sz w:val="18"/>
                <w:szCs w:val="18"/>
                <w:lang w:eastAsia="zh-CN"/>
              </w:rPr>
            </w:pPr>
          </w:p>
          <w:p w14:paraId="41A6F6A0">
            <w:pPr>
              <w:topLinePunct/>
              <w:snapToGrid w:val="0"/>
              <w:spacing w:before="60" w:after="60"/>
              <w:jc w:val="center"/>
              <w:rPr>
                <w:rFonts w:hint="eastAsia" w:eastAsia="宋体"/>
                <w:sz w:val="18"/>
                <w:szCs w:val="18"/>
                <w:lang w:eastAsia="zh-CN"/>
              </w:rPr>
            </w:pPr>
          </w:p>
          <w:p w14:paraId="6EB787CE">
            <w:pPr>
              <w:topLinePunct/>
              <w:snapToGrid w:val="0"/>
              <w:spacing w:before="60" w:after="60"/>
              <w:jc w:val="center"/>
              <w:rPr>
                <w:sz w:val="18"/>
                <w:szCs w:val="18"/>
              </w:rPr>
            </w:pPr>
          </w:p>
          <w:p w14:paraId="2A42044C">
            <w:pPr>
              <w:topLinePunct/>
              <w:snapToGrid w:val="0"/>
              <w:spacing w:before="60" w:after="60"/>
              <w:jc w:val="both"/>
              <w:rPr>
                <w:sz w:val="18"/>
                <w:szCs w:val="18"/>
              </w:rPr>
            </w:pPr>
          </w:p>
        </w:tc>
      </w:tr>
    </w:tbl>
    <w:p w14:paraId="782A4072">
      <w:pPr>
        <w:topLinePunct/>
        <w:ind w:left="1168" w:hanging="811"/>
        <w:rPr>
          <w:rFonts w:hint="eastAsia"/>
          <w:sz w:val="18"/>
          <w:szCs w:val="18"/>
        </w:rPr>
      </w:pPr>
      <w:r>
        <w:rPr>
          <w:rFonts w:hint="eastAsia" w:eastAsia="黑体"/>
          <w:sz w:val="18"/>
          <w:szCs w:val="18"/>
        </w:rPr>
        <w:t>注</w:t>
      </w:r>
      <w:r>
        <w:rPr>
          <w:rFonts w:hint="eastAsia"/>
          <w:sz w:val="18"/>
          <w:szCs w:val="18"/>
        </w:rPr>
        <w:t xml:space="preserve">  本表适用监理人员交底、学习、培训记录使用，监理项目部自存。</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SimSong Regular">
    <w:panose1 w:val="02020300000000000000"/>
    <w:charset w:val="86"/>
    <w:family w:val="auto"/>
    <w:pitch w:val="default"/>
    <w:sig w:usb0="800002BF" w:usb1="38CF7CFA" w:usb2="00000016" w:usb3="00000000" w:csb0="0004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ED1F3"/>
    <w:multiLevelType w:val="singleLevel"/>
    <w:tmpl w:val="EC7ED1F3"/>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hOTRjMTIwNDIwOGM1ODJhOTJlOTM3NWQ0YTE2YmIifQ=="/>
  </w:docVars>
  <w:rsids>
    <w:rsidRoot w:val="00FB4D4C"/>
    <w:rsid w:val="00063BE1"/>
    <w:rsid w:val="00216F7B"/>
    <w:rsid w:val="002826BC"/>
    <w:rsid w:val="003308E9"/>
    <w:rsid w:val="004F3136"/>
    <w:rsid w:val="005C3F4E"/>
    <w:rsid w:val="006B5F43"/>
    <w:rsid w:val="006C65A2"/>
    <w:rsid w:val="008374EE"/>
    <w:rsid w:val="00BC6B57"/>
    <w:rsid w:val="00C864F6"/>
    <w:rsid w:val="00D22C82"/>
    <w:rsid w:val="00D90BA0"/>
    <w:rsid w:val="00FB4D4C"/>
    <w:rsid w:val="1CF21C1D"/>
    <w:rsid w:val="388C3418"/>
    <w:rsid w:val="54FB3886"/>
    <w:rsid w:val="6F716E81"/>
    <w:rsid w:val="7C450D93"/>
    <w:rsid w:val="FB55C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1"/>
      <w:szCs w:val="24"/>
    </w:rPr>
  </w:style>
  <w:style w:type="paragraph" w:styleId="3">
    <w:name w:val="Body Text Indent"/>
    <w:basedOn w:val="1"/>
    <w:qFormat/>
    <w:uiPriority w:val="0"/>
    <w:pPr>
      <w:spacing w:line="240" w:lineRule="auto"/>
      <w:ind w:firstLine="660" w:firstLineChars="0"/>
    </w:pPr>
    <w:rPr>
      <w:rFonts w:ascii="宋体" w:eastAsia="宋体"/>
      <w:sz w:val="32"/>
      <w:szCs w:val="20"/>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6"/>
    <w:semiHidden/>
    <w:unhideWhenUsed/>
    <w:qFormat/>
    <w:uiPriority w:val="0"/>
    <w:pPr>
      <w:spacing w:after="120" w:line="480" w:lineRule="auto"/>
    </w:pPr>
    <w:rPr>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11">
    <w:name w:val="附表头"/>
    <w:basedOn w:val="1"/>
    <w:qFormat/>
    <w:uiPriority w:val="0"/>
    <w:pPr>
      <w:topLinePunct/>
      <w:adjustRightInd w:val="0"/>
      <w:spacing w:before="160" w:after="60"/>
      <w:jc w:val="center"/>
    </w:pPr>
    <w:rPr>
      <w:rFonts w:hAnsi="黑体" w:eastAsia="黑体"/>
      <w:kern w:val="21"/>
      <w:szCs w:val="21"/>
    </w:rPr>
  </w:style>
  <w:style w:type="paragraph" w:customStyle="1" w:styleId="12">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13">
    <w:name w:val="页眉 字符"/>
    <w:basedOn w:val="9"/>
    <w:link w:val="5"/>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正文文本 2 字符"/>
    <w:basedOn w:val="9"/>
    <w:link w:val="6"/>
    <w:semiHidden/>
    <w:qFormat/>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538</Words>
  <Characters>567</Characters>
  <Lines>4</Lines>
  <Paragraphs>1</Paragraphs>
  <TotalTime>1</TotalTime>
  <ScaleCrop>false</ScaleCrop>
  <LinksUpToDate>false</LinksUpToDate>
  <CharactersWithSpaces>574</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2016-12-03T00:05:00Z</dcterms:created>
  <dc:creator>20160730</dc:creator>
  <cp:lastModifiedBy>佑佑</cp:lastModifiedBy>
  <dcterms:modified xsi:type="dcterms:W3CDTF">2024-11-09T15:35:47Z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F2F64E89FCB44942AF9CB6679757880F</vt:lpwstr>
  </property>
</Properties>
</file>