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A353A4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14443A">
        <w:rPr>
          <w:bCs/>
        </w:rPr>
        <w:t>0</w:t>
      </w:r>
      <w:r w:rsidR="00A353A4">
        <w:rPr>
          <w:bCs/>
        </w:rPr>
        <w:t>5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184E6F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C51C7">
        <w:rPr>
          <w:rFonts w:ascii="宋体" w:hAnsi="宋体" w:cs="宋体" w:hint="eastAsia"/>
          <w:bCs/>
        </w:rPr>
        <w:t>29</w:t>
      </w:r>
      <w:r w:rsidR="00FB341E">
        <w:rPr>
          <w:rFonts w:ascii="宋体" w:hAnsi="宋体" w:cs="宋体" w:hint="eastAsia"/>
          <w:bCs/>
        </w:rPr>
        <w:t>℃至</w:t>
      </w:r>
      <w:r w:rsidR="0014443A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A353A4">
        <w:rPr>
          <w:rFonts w:ascii="宋体" w:hAnsi="宋体" w:cs="宋体"/>
          <w:bCs/>
        </w:rPr>
        <w:t>82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A353A4">
        <w:rPr>
          <w:rFonts w:ascii="宋体" w:hAnsi="宋体" w:cs="宋体"/>
          <w:b/>
          <w:color w:val="FF0000"/>
        </w:rPr>
        <w:t>4</w:t>
      </w:r>
      <w:r w:rsidR="00FC51C7">
        <w:rPr>
          <w:rFonts w:ascii="宋体" w:hAnsi="宋体" w:cs="宋体" w:hint="eastAsia"/>
          <w:b/>
          <w:color w:val="FF0000"/>
        </w:rPr>
        <w:t>区阵列除草施工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A353A4">
        <w:rPr>
          <w:rFonts w:ascii="宋体" w:hAnsi="宋体" w:cs="宋体" w:hint="eastAsia"/>
          <w:b/>
          <w:color w:val="FF0000"/>
        </w:rPr>
        <w:t>故障录波接线</w:t>
      </w:r>
      <w:proofErr w:type="gramEnd"/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A353A4">
        <w:rPr>
          <w:rFonts w:ascii="宋体" w:hAnsi="宋体" w:cs="宋体"/>
          <w:b/>
        </w:rPr>
        <w:t>2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A353A4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14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052009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A353A4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574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052009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A353A4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场区除草施工</w:t>
            </w:r>
          </w:p>
        </w:tc>
        <w:tc>
          <w:tcPr>
            <w:tcW w:w="4274" w:type="dxa"/>
          </w:tcPr>
          <w:p w:rsidR="003D6467" w:rsidRDefault="00DA2A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87" w:rsidRDefault="003A0A87">
      <w:r>
        <w:separator/>
      </w:r>
    </w:p>
  </w:endnote>
  <w:endnote w:type="continuationSeparator" w:id="0">
    <w:p w:rsidR="003A0A87" w:rsidRDefault="003A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87" w:rsidRDefault="003A0A87">
      <w:r>
        <w:separator/>
      </w:r>
    </w:p>
  </w:footnote>
  <w:footnote w:type="continuationSeparator" w:id="0">
    <w:p w:rsidR="003A0A87" w:rsidRDefault="003A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57B44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72672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271F4-F28B-4F41-B1AF-01248BB8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321</Words>
  <Characters>1834</Characters>
  <Application>Microsoft Office Word</Application>
  <DocSecurity>0</DocSecurity>
  <Lines>15</Lines>
  <Paragraphs>4</Paragraphs>
  <ScaleCrop>false</ScaleCrop>
  <Company>SkyUN.Org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1287</cp:revision>
  <cp:lastPrinted>2017-04-14T11:28:00Z</cp:lastPrinted>
  <dcterms:created xsi:type="dcterms:W3CDTF">2017-03-05T12:10:00Z</dcterms:created>
  <dcterms:modified xsi:type="dcterms:W3CDTF">2017-06-05T12:09:00Z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