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晴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-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Times New Roman" w:eastAsia="宋体" w:cs="Times New Roman"/>
                <w:sz w:val="24"/>
                <w:lang w:bidi="ar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bidi="ar"/>
              </w:rPr>
              <w:t>巡视现场施工人员对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 w:bidi="ar"/>
              </w:rPr>
              <w:t>四轧</w:t>
            </w:r>
            <w:r>
              <w:rPr>
                <w:rFonts w:hint="eastAsia" w:ascii="宋体" w:hAnsi="Times New Roman" w:eastAsia="宋体" w:cs="Times New Roman"/>
                <w:sz w:val="24"/>
                <w:lang w:bidi="ar"/>
              </w:rPr>
              <w:t>车间进行组件、支架、夹具的安装工作。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旁站四轧车间进行吊装组件、支架。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检查四轧车间箱变基础焊接地及防腐，以及防锈处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施工人员在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四</w:t>
            </w:r>
            <w:r>
              <w:rPr>
                <w:rFonts w:hint="eastAsia" w:ascii="宋体" w:hAnsi="Times New Roman" w:eastAsia="宋体" w:cs="Times New Roman"/>
                <w:sz w:val="24"/>
              </w:rPr>
              <w:t>扎车间进行组件、导轨夹具的安装。</w:t>
            </w:r>
          </w:p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施工人员进行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四扎车间组件、支架吊装。</w:t>
            </w:r>
          </w:p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施工人员进行四扎车间箱变基础焊接地及防腐，以及防锈工作。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8E55CC0"/>
    <w:rsid w:val="0CD60908"/>
    <w:rsid w:val="125D5EF4"/>
    <w:rsid w:val="16C86D68"/>
    <w:rsid w:val="17B83154"/>
    <w:rsid w:val="180C035E"/>
    <w:rsid w:val="1DC5254B"/>
    <w:rsid w:val="21DF04D9"/>
    <w:rsid w:val="23366521"/>
    <w:rsid w:val="2AF86530"/>
    <w:rsid w:val="2E570BD0"/>
    <w:rsid w:val="34ED46C6"/>
    <w:rsid w:val="360301EA"/>
    <w:rsid w:val="38291CE4"/>
    <w:rsid w:val="3ACF0909"/>
    <w:rsid w:val="3DFF16DA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70676A70"/>
    <w:rsid w:val="70E23DEB"/>
    <w:rsid w:val="71967194"/>
    <w:rsid w:val="78DA11F4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2018-01-14T15:27:59Z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