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</w:t>
      </w:r>
      <w:r w:rsidR="008563FF">
        <w:rPr>
          <w:rFonts w:hint="eastAsia"/>
          <w:szCs w:val="21"/>
          <w:u w:val="single"/>
        </w:rPr>
        <w:t>3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B06FA5">
        <w:rPr>
          <w:rFonts w:hint="eastAsia"/>
          <w:szCs w:val="21"/>
        </w:rPr>
        <w:t>小</w:t>
      </w:r>
      <w:r w:rsidR="00681392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proofErr w:type="gramStart"/>
      <w:r w:rsidR="008563FF">
        <w:rPr>
          <w:rFonts w:hint="eastAsia"/>
          <w:szCs w:val="21"/>
          <w:u w:val="single"/>
        </w:rPr>
        <w:t>一</w:t>
      </w:r>
      <w:proofErr w:type="gramEnd"/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B06FA5">
        <w:rPr>
          <w:rFonts w:hint="eastAsia"/>
          <w:szCs w:val="21"/>
          <w:u w:val="single"/>
        </w:rPr>
        <w:t>21</w:t>
      </w:r>
      <w:r w:rsidR="00B46B9F">
        <w:rPr>
          <w:rFonts w:hint="eastAsia"/>
          <w:szCs w:val="21"/>
          <w:u w:val="single"/>
        </w:rPr>
        <w:t>--25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166917" w:rsidRDefault="00B06FA5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今天小雨，管桩组件安装施工巡查及要求施工单位光伏线</w:t>
            </w:r>
            <w:proofErr w:type="gramStart"/>
            <w:r>
              <w:rPr>
                <w:rFonts w:hint="eastAsia"/>
                <w:sz w:val="28"/>
                <w:szCs w:val="28"/>
              </w:rPr>
              <w:t>尽快并</w:t>
            </w:r>
            <w:proofErr w:type="gramEnd"/>
            <w:r>
              <w:rPr>
                <w:rFonts w:hint="eastAsia"/>
                <w:sz w:val="28"/>
                <w:szCs w:val="28"/>
              </w:rPr>
              <w:t>头上逆变器发电工作。并网4串。</w:t>
            </w:r>
            <w:r w:rsidR="00495095">
              <w:rPr>
                <w:rFonts w:hint="eastAsia"/>
                <w:sz w:val="28"/>
                <w:szCs w:val="28"/>
              </w:rPr>
              <w:t>明天继续</w:t>
            </w:r>
            <w:proofErr w:type="gramStart"/>
            <w:r w:rsidR="00495095">
              <w:rPr>
                <w:rFonts w:hint="eastAsia"/>
                <w:sz w:val="28"/>
                <w:szCs w:val="28"/>
              </w:rPr>
              <w:t>并组串入网</w:t>
            </w:r>
            <w:proofErr w:type="gramEnd"/>
            <w:r w:rsidR="00495095">
              <w:rPr>
                <w:rFonts w:hint="eastAsia"/>
                <w:sz w:val="28"/>
                <w:szCs w:val="28"/>
              </w:rPr>
              <w:t>。</w:t>
            </w:r>
          </w:p>
          <w:p w:rsidR="00686EFF" w:rsidRDefault="00B06FA5" w:rsidP="00B46B9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逆变器厂家进场装置</w:t>
            </w:r>
            <w:proofErr w:type="gramStart"/>
            <w:r>
              <w:rPr>
                <w:rFonts w:hint="eastAsia"/>
                <w:sz w:val="28"/>
                <w:szCs w:val="28"/>
              </w:rPr>
              <w:t>信号数注采集</w:t>
            </w:r>
            <w:proofErr w:type="gramEnd"/>
            <w:r>
              <w:rPr>
                <w:rFonts w:hint="eastAsia"/>
                <w:sz w:val="28"/>
                <w:szCs w:val="28"/>
              </w:rPr>
              <w:t>器施工，并对逆变器进行调试工作</w:t>
            </w:r>
            <w:r w:rsidR="00B46B9F">
              <w:rPr>
                <w:rFonts w:hint="eastAsia"/>
                <w:sz w:val="28"/>
                <w:szCs w:val="28"/>
              </w:rPr>
              <w:t>。</w:t>
            </w:r>
          </w:p>
          <w:p w:rsidR="002C5216" w:rsidRDefault="00B06FA5" w:rsidP="00B06FA5">
            <w:pPr>
              <w:ind w:left="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3，现场</w:t>
            </w:r>
            <w:proofErr w:type="gramStart"/>
            <w:r>
              <w:rPr>
                <w:rFonts w:hint="eastAsia"/>
                <w:sz w:val="28"/>
                <w:szCs w:val="28"/>
              </w:rPr>
              <w:t>光伏板已</w:t>
            </w:r>
            <w:proofErr w:type="gramEnd"/>
            <w:r>
              <w:rPr>
                <w:rFonts w:hint="eastAsia"/>
                <w:sz w:val="28"/>
                <w:szCs w:val="28"/>
              </w:rPr>
              <w:t>安装完成。业主单位要尽快进组件板。</w:t>
            </w: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39341E" w:rsidRDefault="0049509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今天小雨，管桩组件安装、支架安装。光伏线并头施工。</w:t>
            </w:r>
          </w:p>
          <w:p w:rsidR="00495095" w:rsidRDefault="0049509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木工条形基础模具安装施工。</w:t>
            </w:r>
          </w:p>
          <w:p w:rsidR="00495095" w:rsidRDefault="0049509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现场共；18人。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C6" w:rsidRDefault="00B702C6" w:rsidP="00961CE6">
      <w:r>
        <w:separator/>
      </w:r>
    </w:p>
  </w:endnote>
  <w:endnote w:type="continuationSeparator" w:id="0">
    <w:p w:rsidR="00B702C6" w:rsidRDefault="00B702C6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C6" w:rsidRDefault="00B702C6" w:rsidP="00961CE6">
      <w:r>
        <w:separator/>
      </w:r>
    </w:p>
  </w:footnote>
  <w:footnote w:type="continuationSeparator" w:id="0">
    <w:p w:rsidR="00B702C6" w:rsidRDefault="00B702C6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835CF"/>
    <w:rsid w:val="00292C9C"/>
    <w:rsid w:val="00297F2B"/>
    <w:rsid w:val="002A1CBB"/>
    <w:rsid w:val="002A4237"/>
    <w:rsid w:val="002A695B"/>
    <w:rsid w:val="002B5376"/>
    <w:rsid w:val="002C5216"/>
    <w:rsid w:val="002C59D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62B2"/>
    <w:rsid w:val="003E14B7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840AC"/>
    <w:rsid w:val="00585A2A"/>
    <w:rsid w:val="00595B91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7EEE"/>
    <w:rsid w:val="008A590E"/>
    <w:rsid w:val="008A73D8"/>
    <w:rsid w:val="008B05E9"/>
    <w:rsid w:val="008B1315"/>
    <w:rsid w:val="008B235F"/>
    <w:rsid w:val="008C28F2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426C5"/>
    <w:rsid w:val="00A55E0A"/>
    <w:rsid w:val="00A727F5"/>
    <w:rsid w:val="00A80AEB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A42D8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855F0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135</cp:revision>
  <cp:lastPrinted>2019-07-02T23:56:00Z</cp:lastPrinted>
  <dcterms:created xsi:type="dcterms:W3CDTF">2019-07-01T07:27:00Z</dcterms:created>
  <dcterms:modified xsi:type="dcterms:W3CDTF">2020-07-13T12:05:00Z</dcterms:modified>
</cp:coreProperties>
</file>