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7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30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Pr="004135FD">
        <w:rPr>
          <w:rFonts w:ascii="宋体" w:hAnsi="宋体" w:hint="eastAsia"/>
          <w:sz w:val="24"/>
          <w:u w:val="single"/>
        </w:rPr>
        <w:t>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 xml:space="preserve">星期：三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22°—29°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2F78BA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Pr="004135FD" w:rsidRDefault="00133BBD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1、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与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业主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总包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代表见面，了解项目初步情况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沟通施工安全、进度、质量的相关事宜。</w:t>
            </w:r>
            <w:r w:rsidR="00977EE1">
              <w:rPr>
                <w:rFonts w:ascii="宋体" w:hAnsi="宋体" w:hint="eastAsia"/>
                <w:color w:val="000000"/>
                <w:sz w:val="24"/>
                <w:szCs w:val="24"/>
              </w:rPr>
              <w:t>目前先进行金</w:t>
            </w:r>
            <w:proofErr w:type="gramStart"/>
            <w:r w:rsidR="00977EE1">
              <w:rPr>
                <w:rFonts w:ascii="宋体" w:hAnsi="宋体" w:hint="eastAsia"/>
                <w:color w:val="000000"/>
                <w:sz w:val="24"/>
                <w:szCs w:val="24"/>
              </w:rPr>
              <w:t>沙河面业集团</w:t>
            </w:r>
            <w:proofErr w:type="gramEnd"/>
            <w:r w:rsidR="00977EE1">
              <w:rPr>
                <w:rFonts w:ascii="宋体" w:hAnsi="宋体" w:hint="eastAsia"/>
                <w:color w:val="000000"/>
                <w:sz w:val="24"/>
                <w:szCs w:val="24"/>
              </w:rPr>
              <w:t>南和厂区的施工，沙河厂区稍后开工。</w:t>
            </w:r>
          </w:p>
          <w:p w:rsidR="00E24BA8" w:rsidRPr="004135FD" w:rsidRDefault="00133BBD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2、对</w:t>
            </w:r>
            <w:r w:rsidR="00977EE1">
              <w:rPr>
                <w:rFonts w:ascii="宋体" w:hAnsi="宋体" w:hint="eastAsia"/>
                <w:color w:val="000000"/>
                <w:sz w:val="24"/>
                <w:szCs w:val="24"/>
              </w:rPr>
              <w:t>挂面车间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2#屋顶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吊运材料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进行</w:t>
            </w:r>
            <w:proofErr w:type="gramStart"/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安全旁</w:t>
            </w:r>
            <w:proofErr w:type="gramEnd"/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站，吊装人员佩戴安全帽，现场设有安全警示标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识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，有专人负责安全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警戒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，符合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安全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要求。</w:t>
            </w:r>
          </w:p>
          <w:p w:rsidR="00E24BA8" w:rsidRPr="004135FD" w:rsidRDefault="00133BBD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3、查看屋顶材料卸运情况，对材料集中堆放情况提出要求立即将材料进行分散摆放（施工人员已执行）。</w:t>
            </w:r>
          </w:p>
          <w:p w:rsidR="00E24BA8" w:rsidRPr="004135FD" w:rsidRDefault="00133BBD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4、查看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挂面车间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2#屋顶定点放线情况，</w:t>
            </w:r>
            <w:r w:rsidR="002F78BA"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要求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待定点放线完成后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进行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报验。</w:t>
            </w:r>
          </w:p>
          <w:p w:rsidR="00E24BA8" w:rsidRPr="002F78BA" w:rsidRDefault="00133BBD" w:rsidP="002F78B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5、查看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挂面车间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2#屋顶施工安全风险源情况，风险源主要包括采光带强度不够和南侧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屋脊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中央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向两侧延伸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女儿墙高度</w:t>
            </w:r>
            <w:r w:rsidR="002F78BA">
              <w:rPr>
                <w:rFonts w:ascii="宋体" w:hAnsi="宋体" w:hint="eastAsia"/>
                <w:color w:val="000000"/>
                <w:sz w:val="24"/>
                <w:szCs w:val="24"/>
              </w:rPr>
              <w:t>达不到安全要求，已要求进行警示标识</w:t>
            </w:r>
            <w:r w:rsidRPr="004135FD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977EE1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A8" w:rsidRPr="002F78BA" w:rsidRDefault="00133BBD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F78B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1、对挂面车间2#屋顶进行安全防护。                                  2、施工材料进场，施工单位组织材料安全吊装至挂面车间2#屋顶。</w:t>
            </w:r>
          </w:p>
          <w:p w:rsidR="00E24BA8" w:rsidRPr="002F78BA" w:rsidRDefault="00133BBD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  <w:r w:rsidRPr="002F78BA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3、组织施工人员对2#屋顶进行定点放线，完成80%，材料吊装100%。</w:t>
            </w:r>
          </w:p>
        </w:tc>
      </w:tr>
      <w:tr w:rsidR="002F78BA" w:rsidTr="00D21422">
        <w:trPr>
          <w:cantSplit/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2F78BA">
            <w:pPr>
              <w:spacing w:before="120"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总监理工程师:</w:t>
            </w:r>
            <w:r w:rsidR="00D21422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</w:tbl>
    <w:p w:rsidR="00E24BA8" w:rsidRDefault="00E24BA8" w:rsidP="00D21422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65" w:rsidRDefault="00CC1A65" w:rsidP="004135FD">
      <w:r>
        <w:separator/>
      </w:r>
    </w:p>
  </w:endnote>
  <w:endnote w:type="continuationSeparator" w:id="0">
    <w:p w:rsidR="00CC1A65" w:rsidRDefault="00CC1A65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65" w:rsidRDefault="00CC1A65" w:rsidP="004135FD">
      <w:r>
        <w:separator/>
      </w:r>
    </w:p>
  </w:footnote>
  <w:footnote w:type="continuationSeparator" w:id="0">
    <w:p w:rsidR="00CC1A65" w:rsidRDefault="00CC1A65" w:rsidP="00413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1A65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B82DA-089D-4546-871A-E13CA713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197</cp:revision>
  <cp:lastPrinted>2019-09-09T06:24:00Z</cp:lastPrinted>
  <dcterms:created xsi:type="dcterms:W3CDTF">2017-01-01T09:38:00Z</dcterms:created>
  <dcterms:modified xsi:type="dcterms:W3CDTF">2020-08-07T16:43:00Z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