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063BC0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FF7486">
              <w:t>2</w:t>
            </w:r>
            <w:r w:rsidR="00063BC0">
              <w:t>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063BC0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7910D4" w:rsidP="00063BC0">
            <w:pPr>
              <w:jc w:val="center"/>
            </w:pPr>
            <w:r>
              <w:rPr>
                <w:rFonts w:hint="eastAsia"/>
              </w:rPr>
              <w:t>东</w:t>
            </w:r>
            <w:r w:rsidR="00063BC0"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063BC0">
              <w:t>5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063BC0" w:rsidP="00FF7486">
            <w:pPr>
              <w:jc w:val="center"/>
            </w:pPr>
            <w:r>
              <w:t>12</w:t>
            </w:r>
            <w:r>
              <w:rPr>
                <w:rFonts w:hint="eastAsia"/>
              </w:rPr>
              <w:t>-</w:t>
            </w:r>
            <w:r>
              <w:t>25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0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名施工人员安装桥架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名施工人员安装组件，二次柜压接二次电缆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512E86" w:rsidRDefault="00512E86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组织召开监理例会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Pr="00F349EF" w:rsidRDefault="00F349EF" w:rsidP="00F349EF">
      <w:pPr>
        <w:ind w:firstLineChars="2600" w:firstLine="5460"/>
      </w:pPr>
      <w:r>
        <w:rPr>
          <w:rFonts w:hint="eastAsia"/>
        </w:rPr>
        <w:t>记录人：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349EF">
              <w:rPr>
                <w:rFonts w:hint="eastAsia"/>
                <w:b/>
              </w:rPr>
              <w:t>，组件安装1</w:t>
            </w:r>
            <w:r w:rsidR="00F349EF">
              <w:rPr>
                <w:b/>
              </w:rPr>
              <w:t>5</w:t>
            </w:r>
            <w:r w:rsidR="00F349EF">
              <w:rPr>
                <w:rFonts w:hint="eastAsia"/>
                <w:b/>
              </w:rPr>
              <w:t>%。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F349EF" w:rsidP="00584681">
            <w:pPr>
              <w:jc w:val="center"/>
            </w:pPr>
            <w:r>
              <w:t>安装桥架</w:t>
            </w:r>
          </w:p>
        </w:tc>
        <w:tc>
          <w:tcPr>
            <w:tcW w:w="3807" w:type="dxa"/>
          </w:tcPr>
          <w:p w:rsidR="006B0046" w:rsidRDefault="00F349EF" w:rsidP="00CD70C4">
            <w:pPr>
              <w:ind w:firstLineChars="600" w:firstLine="1260"/>
              <w:jc w:val="left"/>
            </w:pPr>
            <w:r>
              <w:t>安装组件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F349EF" w:rsidP="006B416A">
            <w:pPr>
              <w:jc w:val="center"/>
              <w:rPr>
                <w:rFonts w:eastAsia="宋体"/>
              </w:rPr>
            </w:pPr>
            <w:r w:rsidRPr="00F349EF">
              <w:rPr>
                <w:rFonts w:eastAsia="宋体"/>
                <w:noProof/>
              </w:rPr>
              <w:drawing>
                <wp:inline distT="0" distB="0" distL="0" distR="0">
                  <wp:extent cx="2460317" cy="2451735"/>
                  <wp:effectExtent l="0" t="0" r="0" b="5715"/>
                  <wp:docPr id="1" name="图片 1" descr="C:\Users\Lao Wang\Desktop\安装桥架04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桥架04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645" cy="24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F349EF" w:rsidP="006B416A">
            <w:pPr>
              <w:rPr>
                <w:rFonts w:eastAsia="宋体"/>
              </w:rPr>
            </w:pPr>
            <w:r w:rsidRPr="00F349EF">
              <w:rPr>
                <w:rFonts w:eastAsia="宋体"/>
                <w:noProof/>
              </w:rPr>
              <w:drawing>
                <wp:inline distT="0" distB="0" distL="0" distR="0">
                  <wp:extent cx="2287845" cy="2451735"/>
                  <wp:effectExtent l="0" t="0" r="0" b="5715"/>
                  <wp:docPr id="2" name="图片 2" descr="C:\Users\Lao Wang\Desktop\安装组件04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04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748" cy="246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F349EF" w:rsidP="0040315D">
            <w:pPr>
              <w:tabs>
                <w:tab w:val="center" w:pos="2537"/>
              </w:tabs>
              <w:ind w:firstLineChars="400" w:firstLine="840"/>
            </w:pPr>
            <w:r>
              <w:t>压接二次电缆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  <w:r w:rsidR="00F349EF">
              <w:t>敷设电缆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F349EF">
            <w:pPr>
              <w:rPr>
                <w:rFonts w:eastAsia="宋体"/>
              </w:rPr>
            </w:pPr>
            <w:r w:rsidRPr="00F349EF">
              <w:rPr>
                <w:rFonts w:eastAsia="宋体"/>
                <w:noProof/>
              </w:rPr>
              <w:drawing>
                <wp:inline distT="0" distB="0" distL="0" distR="0">
                  <wp:extent cx="2442210" cy="2419350"/>
                  <wp:effectExtent l="0" t="0" r="0" b="0"/>
                  <wp:docPr id="3" name="图片 3" descr="C:\Users\Lao Wang\Desktop\压接二次电缆04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压接二次电缆04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530" cy="243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F349EF">
            <w:pPr>
              <w:rPr>
                <w:rFonts w:eastAsia="宋体"/>
              </w:rPr>
            </w:pPr>
            <w:r w:rsidRPr="00F349EF">
              <w:rPr>
                <w:rFonts w:eastAsia="宋体"/>
                <w:noProof/>
              </w:rPr>
              <w:drawing>
                <wp:inline distT="0" distB="0" distL="0" distR="0">
                  <wp:extent cx="2329180" cy="2466975"/>
                  <wp:effectExtent l="0" t="0" r="0" b="9525"/>
                  <wp:docPr id="4" name="图片 4" descr="C:\Users\Lao Wang\Desktop\敷设电缆04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敷设电缆04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039" cy="2495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CAA" w:rsidRDefault="008B2CAA" w:rsidP="00DB5795">
      <w:r>
        <w:separator/>
      </w:r>
    </w:p>
  </w:endnote>
  <w:endnote w:type="continuationSeparator" w:id="0">
    <w:p w:rsidR="008B2CAA" w:rsidRDefault="008B2CAA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CAA" w:rsidRDefault="008B2CAA" w:rsidP="00DB5795">
      <w:r>
        <w:separator/>
      </w:r>
    </w:p>
  </w:footnote>
  <w:footnote w:type="continuationSeparator" w:id="0">
    <w:p w:rsidR="008B2CAA" w:rsidRDefault="008B2CAA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C0349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12E86"/>
    <w:rsid w:val="00532A97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D63BD"/>
    <w:rsid w:val="006E6E29"/>
    <w:rsid w:val="00700969"/>
    <w:rsid w:val="00713829"/>
    <w:rsid w:val="007170D5"/>
    <w:rsid w:val="007209B9"/>
    <w:rsid w:val="00733486"/>
    <w:rsid w:val="00752A6F"/>
    <w:rsid w:val="007659C5"/>
    <w:rsid w:val="00766994"/>
    <w:rsid w:val="007669A4"/>
    <w:rsid w:val="007670E3"/>
    <w:rsid w:val="007910D4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2CAA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A3B8E"/>
    <w:rsid w:val="00AB0C51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B01DD"/>
    <w:rsid w:val="00CB7A96"/>
    <w:rsid w:val="00CB7EFE"/>
    <w:rsid w:val="00CC1A01"/>
    <w:rsid w:val="00CD70C4"/>
    <w:rsid w:val="00CE4097"/>
    <w:rsid w:val="00CE63E4"/>
    <w:rsid w:val="00CE6C0F"/>
    <w:rsid w:val="00CF1066"/>
    <w:rsid w:val="00D00D85"/>
    <w:rsid w:val="00D1139A"/>
    <w:rsid w:val="00D2534E"/>
    <w:rsid w:val="00D2644D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D6163"/>
    <w:rsid w:val="00EE21CE"/>
    <w:rsid w:val="00EE5072"/>
    <w:rsid w:val="00F06890"/>
    <w:rsid w:val="00F32EC3"/>
    <w:rsid w:val="00F333F1"/>
    <w:rsid w:val="00F349EF"/>
    <w:rsid w:val="00F35D67"/>
    <w:rsid w:val="00F36283"/>
    <w:rsid w:val="00F40D8D"/>
    <w:rsid w:val="00F5120E"/>
    <w:rsid w:val="00F578DE"/>
    <w:rsid w:val="00F57E14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A930-594E-4B6D-83BB-1DC501D1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361</cp:revision>
  <cp:lastPrinted>2023-03-06T09:01:00Z</cp:lastPrinted>
  <dcterms:created xsi:type="dcterms:W3CDTF">2022-04-02T07:59:00Z</dcterms:created>
  <dcterms:modified xsi:type="dcterms:W3CDTF">2023-04-23T09:13:00Z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