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jc w:val="both"/>
        <w:rPr>
          <w:rFonts w:hint="default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eastAsia="zh-CN"/>
        </w:rPr>
        <w:t>永靖县“十四五"盐锅峡光伏发电项目</w:t>
      </w:r>
    </w:p>
    <w:p>
      <w:pPr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lang w:val="en-US"/>
        </w:rPr>
        <w:t xml:space="preserve">                 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8"/>
          <w:szCs w:val="4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/>
        </w:rPr>
        <w:t>(202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/>
        </w:rPr>
        <w:t>日202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/>
        </w:rPr>
        <w:t>日)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val="en-US"/>
        </w:rPr>
        <w:t xml:space="preserve">                          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4"/>
          <w:lang w:val="en-US"/>
        </w:rPr>
      </w:pPr>
    </w:p>
    <w:p>
      <w:pPr>
        <w:spacing w:line="360" w:lineRule="auto"/>
        <w:ind w:firstLine="3855" w:firstLineChars="400"/>
        <w:jc w:val="both"/>
        <w:rPr>
          <w:rFonts w:hint="eastAsia" w:ascii="宋体" w:hAnsi="宋体" w:cs="宋体"/>
          <w:b/>
          <w:sz w:val="320"/>
          <w:szCs w:val="320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72"/>
          <w:lang w:val="en-US"/>
        </w:rPr>
        <w:t>安</w:t>
      </w:r>
    </w:p>
    <w:p>
      <w:pPr>
        <w:pStyle w:val="8"/>
        <w:rPr>
          <w:rFonts w:hint="eastAsia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96"/>
          <w:szCs w:val="96"/>
        </w:rPr>
      </w:pPr>
      <w:r>
        <w:rPr>
          <w:rFonts w:hint="default" w:ascii="宋体" w:hAnsi="宋体" w:cs="宋体"/>
          <w:b/>
          <w:sz w:val="96"/>
          <w:szCs w:val="96"/>
          <w:lang w:val="en-US"/>
        </w:rPr>
        <w:t xml:space="preserve"> 全</w:t>
      </w:r>
    </w:p>
    <w:p>
      <w:pPr>
        <w:pStyle w:val="8"/>
        <w:rPr>
          <w:rFonts w:hint="eastAsia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96"/>
          <w:szCs w:val="96"/>
        </w:rPr>
      </w:pPr>
      <w:r>
        <w:rPr>
          <w:rFonts w:hint="default" w:ascii="宋体" w:hAnsi="宋体" w:cs="宋体"/>
          <w:b/>
          <w:sz w:val="96"/>
          <w:szCs w:val="96"/>
          <w:lang w:val="en-US"/>
        </w:rPr>
        <w:t xml:space="preserve"> 日 </w:t>
      </w:r>
    </w:p>
    <w:p>
      <w:pPr>
        <w:pStyle w:val="8"/>
        <w:rPr>
          <w:rFonts w:hint="eastAsia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96"/>
          <w:szCs w:val="96"/>
        </w:rPr>
      </w:pPr>
      <w:r>
        <w:rPr>
          <w:rFonts w:hint="default" w:ascii="宋体" w:hAnsi="宋体" w:cs="宋体"/>
          <w:b/>
          <w:sz w:val="96"/>
          <w:szCs w:val="96"/>
          <w:lang w:val="en-US"/>
        </w:rPr>
        <w:t xml:space="preserve"> 志</w:t>
      </w:r>
    </w:p>
    <w:p>
      <w:pPr>
        <w:tabs>
          <w:tab w:val="left" w:pos="5821"/>
        </w:tabs>
        <w:spacing w:line="360" w:lineRule="auto"/>
        <w:jc w:val="lef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ab/>
      </w:r>
    </w:p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pStyle w:val="14"/>
        <w:spacing w:line="360" w:lineRule="auto"/>
        <w:ind w:left="0" w:leftChars="0" w:firstLine="2650" w:firstLineChars="1100"/>
        <w:rPr>
          <w:rFonts w:hint="eastAsia" w:ascii="宋体" w:hAnsi="宋体" w:cs="宋体"/>
          <w:b/>
          <w:sz w:val="24"/>
          <w:szCs w:val="24"/>
        </w:rPr>
      </w:pPr>
    </w:p>
    <w:p>
      <w:pPr>
        <w:pStyle w:val="14"/>
        <w:spacing w:line="360" w:lineRule="auto"/>
        <w:ind w:left="0" w:leftChars="0" w:firstLine="2650" w:firstLineChars="110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常州正衡电力工程监理有限公司</w:t>
      </w:r>
    </w:p>
    <w:p>
      <w:pPr>
        <w:spacing w:line="360" w:lineRule="auto"/>
        <w:ind w:firstLine="2280" w:firstLineChars="950"/>
        <w:jc w:val="both"/>
        <w:rPr>
          <w:rFonts w:hint="eastAsia" w:ascii="仿宋_GB2312" w:hAnsi="仿宋_GB2312" w:eastAsia="仿宋_GB2312" w:cs="仿宋_GB2312"/>
          <w:b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永靖县“十四五"盐锅峡光伏发电项目</w:t>
      </w:r>
      <w:r>
        <w:rPr>
          <w:rFonts w:hint="eastAsia" w:ascii="仿宋_GB2312" w:hAnsi="仿宋_GB2312" w:eastAsia="仿宋_GB2312" w:cs="仿宋_GB2312"/>
          <w:b/>
          <w:sz w:val="22"/>
          <w:szCs w:val="22"/>
        </w:rPr>
        <w:t>监理部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  <w:t xml:space="preserve">  </w:t>
      </w:r>
    </w:p>
    <w:p>
      <w:p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1丶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330KV升压站基础灰土挤密桩施工.</w:t>
            </w:r>
          </w:p>
          <w:p>
            <w:pPr>
              <w:pStyle w:val="15"/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线路塔基基础桩开挖.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（特种）设备开展设备状态检查评估确认，状态良好。试运行状态良好。司机及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5"/>
              <w:ind w:left="0" w:leftChars="0" w:firstLine="1560" w:firstLineChars="65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330KV升压站基础灰土挤密桩施工.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线路塔基基础桩开挖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3、A26光伏支架安装。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（特种）设备开展设备状态检查评估确认，状态良好。试运行状态良好。司机及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及光伏区支架安装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1.升压站桩基孔洞未覆盖防护。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330KV升压站基础灰土挤密桩施工.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线路塔基基础桩开挖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3、升压站事故油池基础开挖。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（特种）设备开展设备状态检查评估确认，状态良好。试运行状态良好。司机及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、升压站事故油池开挖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1.检查升压站桩基孔洞安全防护已整改完成。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330KV升压站基础灰土挤密桩施工.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线路塔基基础桩开挖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3、升压站事故油池基础开挖。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、升压站事故油池开挖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检查</w:t>
            </w:r>
            <w:r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线路塔基基础桩开挖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施工现场安全警示牌未设立。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330KV升压站基础灰土挤密桩施工.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线路塔基基础桩开挖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3、升压站事故油池基础开挖。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、升压站事故油池开挖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检查</w:t>
            </w:r>
            <w:r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线路塔基基础桩开挖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施工现场安全警示牌已设立，安全人员到场全天履职。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330KV升压站基础灰土挤密桩施工.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线路塔基基础桩开挖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3、A26光伏支架安装。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检查光伏区支架安装施工时，个别施工人员未佩戴安全帽，已现场告知相关管理人员，并进行现场安全交底，已整改完成。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330KV升压站基础灰土挤密桩施工.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线路塔基基础桩开挖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3、A26光伏支架安装。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330KV升压站基础灰土挤密桩施工.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线路塔基基础桩开挖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3、A26光伏支架安装。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330KV升压站基础灰土挤密桩施工.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线路塔基基础桩开挖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330KV升压站基础灰土挤密桩施工.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线路塔基基础桩开挖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3.A23 围栏施工。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二次室、主控楼施工；桩基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灰土挤密桩施工.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线路塔基基础桩开挖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3.A25光伏支架安装。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1.二次室基坑警示标识不满足现场需要。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二次室施工、构架基础开挖；桩基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灰土挤密桩施工.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线路塔基基础桩开挖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3.A25光伏支架安装。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1.二次室基坑警示标识已整改完成，满足现场需要。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二次室施工、构架基础开挖；桩基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灰土挤密桩施工.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线路塔基基础桩开挖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3.A23围栏安装。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二次室施工、事故油池施工；桩基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灰土挤密桩施工.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线路塔基基础桩开挖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3.A11围栏安装。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二次室施工、事故油池施工；桩基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灰土挤密桩施工.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线路塔基基础桩开挖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3.A1-9围栏安装。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线路塔基基础桩开挖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3.A1-9围栏安装。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1.监理人员巡视现场时发现个别脚手架搭设不符合要求。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施工。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3.A10围栏安装。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1.监理人员复查脚手架搭设已按要求整改完成。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施工。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3.A10围栏安装。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1.监理人员复查脚手架搭设已按要求整改完成。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施工。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施工。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施工。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施工。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施工。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施工。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施工。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3、光伏区围栏施工。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施工。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3、光伏区围栏施工。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施工。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3、光伏区围栏施工。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1.升压站基坑防护不符合要求，警示标志缺少。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施工。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3、光伏区围栏施工。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1.升压站基坑警示标志已按照要求进行整改。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施工。</w:t>
            </w: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3、光伏区围栏施工。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1.升压站基坑警示标志已按照要求进行整改。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施工。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</w:rPr>
      </w:pPr>
    </w:p>
    <w:p>
      <w:pPr>
        <w:pStyle w:val="4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甘肃浩博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330KV升压站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线路塔基基础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施工。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防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,进场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（特种）设备开展设备状态检查评估确认，状态良好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试运行状态良好。司机及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其他工种均人证合－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,证件齐全有效,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持证上岗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4"/>
              </w:rPr>
              <w:t>同时对人员安全培训和新进场人员岗前安全培训、技术交底等进行情况进行检查</w:t>
            </w:r>
            <w:r>
              <w:rPr>
                <w:rFonts w:hint="eastAsia" w:ascii="仿宋_GB2312" w:hAnsi="仿宋_GB2312" w:eastAsia="仿宋_GB2312" w:cs="仿宋_GB2312"/>
                <w:sz w:val="22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正确配戴安全带正确使用各种安全防护和劳保用品.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巡视施工现场，对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线路塔基基础桩挖孔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安全和基础灰土挤密桩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、光伏区支架安装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施工安全防护措施是否按方案施工进行检查，查看现场大型机械安全措施情况，查看进场设备报验、和特种作业人员持证情况。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朱有军</w:t>
            </w:r>
          </w:p>
        </w:tc>
      </w:tr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832BC9"/>
    <w:rsid w:val="01F12AD7"/>
    <w:rsid w:val="021C342D"/>
    <w:rsid w:val="03460AC0"/>
    <w:rsid w:val="045D0FE7"/>
    <w:rsid w:val="04C026E1"/>
    <w:rsid w:val="05214890"/>
    <w:rsid w:val="059D79D8"/>
    <w:rsid w:val="06457AB2"/>
    <w:rsid w:val="08400510"/>
    <w:rsid w:val="08982B9C"/>
    <w:rsid w:val="0B4E5C12"/>
    <w:rsid w:val="0B637B1E"/>
    <w:rsid w:val="0EB401A4"/>
    <w:rsid w:val="10B04A3E"/>
    <w:rsid w:val="12422076"/>
    <w:rsid w:val="145E1D0D"/>
    <w:rsid w:val="14E402EC"/>
    <w:rsid w:val="14EB7EA0"/>
    <w:rsid w:val="14F0365F"/>
    <w:rsid w:val="16C75E1B"/>
    <w:rsid w:val="18A814C5"/>
    <w:rsid w:val="193D75BB"/>
    <w:rsid w:val="19A65993"/>
    <w:rsid w:val="19EC5E8B"/>
    <w:rsid w:val="1AEB15C3"/>
    <w:rsid w:val="1B2C48B0"/>
    <w:rsid w:val="1B7C030B"/>
    <w:rsid w:val="1C021C5C"/>
    <w:rsid w:val="1EE70BB8"/>
    <w:rsid w:val="23037A67"/>
    <w:rsid w:val="24DB0EE7"/>
    <w:rsid w:val="24FE4D6C"/>
    <w:rsid w:val="2574584D"/>
    <w:rsid w:val="25D1433F"/>
    <w:rsid w:val="28296620"/>
    <w:rsid w:val="28654B55"/>
    <w:rsid w:val="2C5170CD"/>
    <w:rsid w:val="2D6219BC"/>
    <w:rsid w:val="31442264"/>
    <w:rsid w:val="314A78DB"/>
    <w:rsid w:val="31A9147F"/>
    <w:rsid w:val="32E90334"/>
    <w:rsid w:val="33D52731"/>
    <w:rsid w:val="38ED724F"/>
    <w:rsid w:val="3B7B0570"/>
    <w:rsid w:val="3C8E3908"/>
    <w:rsid w:val="3D737862"/>
    <w:rsid w:val="3F193DA7"/>
    <w:rsid w:val="40264B41"/>
    <w:rsid w:val="403868F9"/>
    <w:rsid w:val="452B2AE8"/>
    <w:rsid w:val="47334585"/>
    <w:rsid w:val="475879A1"/>
    <w:rsid w:val="47F227BB"/>
    <w:rsid w:val="49FA6AB4"/>
    <w:rsid w:val="4CC178A9"/>
    <w:rsid w:val="4F0372F6"/>
    <w:rsid w:val="4F4847EE"/>
    <w:rsid w:val="52A714E0"/>
    <w:rsid w:val="573C58C9"/>
    <w:rsid w:val="57AD76FD"/>
    <w:rsid w:val="57B80793"/>
    <w:rsid w:val="59A93490"/>
    <w:rsid w:val="5A4769F4"/>
    <w:rsid w:val="5BED4800"/>
    <w:rsid w:val="61AB5805"/>
    <w:rsid w:val="636C0971"/>
    <w:rsid w:val="66220DB5"/>
    <w:rsid w:val="66286A63"/>
    <w:rsid w:val="692E1355"/>
    <w:rsid w:val="6C2A6942"/>
    <w:rsid w:val="6D695C17"/>
    <w:rsid w:val="6E711DF1"/>
    <w:rsid w:val="6F3E328D"/>
    <w:rsid w:val="759E53AA"/>
    <w:rsid w:val="762D5351"/>
    <w:rsid w:val="7C72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220"/>
    </w:pPr>
    <w:rPr>
      <w:sz w:val="24"/>
      <w:szCs w:val="24"/>
    </w:rPr>
  </w:style>
  <w:style w:type="paragraph" w:styleId="3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Body Text First Indent"/>
    <w:basedOn w:val="2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8">
    <w:name w:val="Body Text First Indent 2"/>
    <w:basedOn w:val="5"/>
    <w:next w:val="7"/>
    <w:qFormat/>
    <w:uiPriority w:val="99"/>
    <w:pPr>
      <w:ind w:left="420" w:firstLine="420"/>
    </w:pPr>
    <w:rPr>
      <w:rFonts w:ascii="Times New Roman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引言二级条标题"/>
    <w:basedOn w:val="13"/>
    <w:next w:val="14"/>
    <w:qFormat/>
    <w:uiPriority w:val="0"/>
    <w:pPr>
      <w:tabs>
        <w:tab w:val="left" w:pos="360"/>
        <w:tab w:val="left" w:pos="1200"/>
      </w:tabs>
      <w:ind w:left="1554" w:hanging="420"/>
    </w:pPr>
    <w:rPr>
      <w:b w:val="0"/>
    </w:rPr>
  </w:style>
  <w:style w:type="paragraph" w:customStyle="1" w:styleId="13">
    <w:name w:val="引言一级条标题"/>
    <w:basedOn w:val="1"/>
    <w:next w:val="14"/>
    <w:qFormat/>
    <w:uiPriority w:val="0"/>
    <w:pPr>
      <w:widowControl/>
      <w:tabs>
        <w:tab w:val="left" w:pos="1200"/>
      </w:tabs>
      <w:ind w:left="1200" w:hanging="720"/>
    </w:pPr>
    <w:rPr>
      <w:rFonts w:eastAsia="黑体"/>
      <w:b/>
    </w:rPr>
  </w:style>
  <w:style w:type="paragraph" w:customStyle="1" w:styleId="14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2024-04-29T07:27:00Z</cp:lastPrinted>
  <dcterms:modified xsi:type="dcterms:W3CDTF">2024-06-05T08:51:41Z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