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firstLine="2891" w:firstLineChars="8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16日星期四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10/28°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施工方人员动态:线路塔位人工孔桩6人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塔位开挖：G56已完成90%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塔位支模：G42已完成100%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塔位拆模：G55已完成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2.检查部分塔位浇筑混凝土养护措施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现场施工无异常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塔位G1~27征地复测、水土保持相关手续需协调处理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朱友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军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1726565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172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检查安全措施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检查桩长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检查桩经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检查螺栓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0F33BC0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2024-06-14T00:18:02Z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