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阴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加固补漏、打磨、涂刷防火漆；钢保利二期做屋面安全防护施工；多功能厅结构加固、拆脚手架旁站；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现场检查：灭火器压强不足，已现场要求更换；安全带破损，已要求报废，禁止使用；拆除脚手架时，工作区域未设置警戒带已要求现场整改；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加固补漏、打磨、涂刷防火漆；钢保利二期做屋面安全防护施工；多功能厅结构加固、拆脚手架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主厂房4、主厂房6、主厂房7、主厂房五1期、主厂房五2期、东备件库、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西备件库、原料库、钢保利一期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、钢保利二期已完成全部加固施工；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钢保利二期需加固：76根  已完成：76根  完成率：100%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多功能厅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需加固：8根  已完成：4根  完成率：50%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合计：1936根  现已完成：19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根  完成率：99.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8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2024-04-11T10:04:25Z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