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37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969A0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三区轧后库交流桥架安装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XF5两侧沿线、多功能室，维保楼、主办公室停车场，变电站电缆沟施工、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  <w:lang w:val="en-US" w:eastAsia="zh-CN"/>
              </w:rPr>
              <w:t>线路施工；钢保利变电室、车棚施工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；</w:t>
            </w:r>
          </w:p>
          <w:p w14:paraId="4BAA1471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DE7F5BE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14F7D0A9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三区轧后库交流桥架安装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XF5两侧沿线、多功能室，维保楼、主办公室停车场，变电站电缆沟施工、线路施工；钢保利变电室、车棚施工；</w:t>
            </w:r>
          </w:p>
          <w:p w14:paraId="7BACFB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365</Characters>
  <Lines>1</Lines>
  <Paragraphs>1</Paragraphs>
  <TotalTime>2</TotalTime>
  <ScaleCrop>false</ScaleCrop>
  <LinksUpToDate>false</LinksUpToDate>
  <CharactersWithSpaces>465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2024-08-04T12:52:50Z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