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检查北侧防爆墙和集水井基础混凝土浇筑，要求使用C30混凝土，浇筑时充分振捣，同时控制好标高。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0438BAF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检查与110KV天能变连接的电缆沟砌筑施工，要求尺寸1000*1100，保持墙体垂直度，支架预埋件预埋时60公分一档，两侧交叉预埋。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检查消防管道安装，要求管道接头要平整，卡箍牢固，管道排列整齐。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24DB0B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北侧消防管道安装</w:t>
            </w:r>
          </w:p>
          <w:p w14:paraId="7FF416AD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273</Characters>
  <Lines>3</Lines>
  <Paragraphs>1</Paragraphs>
  <TotalTime>247</TotalTime>
  <ScaleCrop>false</ScaleCrop>
  <LinksUpToDate>false</LinksUpToDate>
  <CharactersWithSpaces>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2024-12-02T06:45:27Z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BA51AAB63B134ABAAB3FCF1258A0A685_13</vt:lpwstr>
  </property>
</Properties>
</file>