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21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六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-5-4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186C6554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检查场地回填施工，要求底层灰土，分层夯实，不能有建筑垃圾和混凝土渣块。</w:t>
            </w:r>
          </w:p>
          <w:p w14:paraId="35C4881F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检查电缆头安装，要求电缆校正防止电缆交织，，铜鼻子与铜排必须紧贴无缝隙，螺丝紧固，垫片不能缺少，最后用扭力扳手确认力矩。</w:t>
            </w:r>
          </w:p>
          <w:p w14:paraId="401170FA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检查消防井砌筑，要求按照图纸设计要求进行施工。</w:t>
            </w:r>
          </w:p>
          <w:p w14:paraId="6730CEC9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检查设备舱防火封堵，要求封堵</w:t>
            </w:r>
            <w:r>
              <w:rPr>
                <w:rFonts w:ascii="Segoe UI" w:hAnsi="Segoe UI" w:eastAsia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t>要保证封堵材料填充密实。对于较大的孔洞，可以分层填充，每层填充后适当压实。例如，在填充较大的电缆贯穿孔时，先填入部分防火泥，用工具压实后再继续填充，确保没有空隙</w:t>
            </w:r>
            <w:r>
              <w:rPr>
                <w:rFonts w:ascii="Segoe UI" w:hAnsi="Segoe UI" w:eastAsia="Segoe UI" w:cs="Segoe UI"/>
                <w:i w:val="0"/>
                <w:iCs w:val="0"/>
                <w:caps w:val="0"/>
                <w:spacing w:val="0"/>
                <w:sz w:val="19"/>
                <w:szCs w:val="19"/>
                <w:shd w:val="clear" w:fill="FFFFFF"/>
              </w:rPr>
              <w:t>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0DBE921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电缆头安装，设备舱电缆挂标识牌，高压电缆头安装，设备舱防火封，电池舱设备系统调试。设备舱刷黄绿漆。</w:t>
            </w:r>
          </w:p>
          <w:p w14:paraId="1F0237C4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场地部分回填，电缆沟压顶梁抹灰，消防井砌筑。</w:t>
            </w:r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318</Words>
  <Characters>337</Characters>
  <Lines>3</Lines>
  <Paragraphs>1</Paragraphs>
  <TotalTime>0</TotalTime>
  <ScaleCrop>false</ScaleCrop>
  <LinksUpToDate>false</LinksUpToDate>
  <CharactersWithSpaces>452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缘</cp:lastModifiedBy>
  <cp:lastPrinted>2024-09-09T08:18:00Z</cp:lastPrinted>
  <dcterms:modified xsi:type="dcterms:W3CDTF">2024-12-21T08:57:13Z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778E71673696434D8679D477278DC84D_13</vt:lpwstr>
  </property>
</Properties>
</file>