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3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22  </w:t>
      </w:r>
      <w:r>
        <w:rPr>
          <w:rFonts w:hint="eastAsia" w:ascii="宋体" w:hAnsi="宋体"/>
          <w:sz w:val="24"/>
        </w:rPr>
        <w:t xml:space="preserve">日　      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 xml:space="preserve">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六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11--26°C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spacing w:line="360" w:lineRule="auto"/>
              <w:jc w:val="left"/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5014153C">
            <w:pPr>
              <w:spacing w:line="360" w:lineRule="auto"/>
              <w:jc w:val="left"/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检查消缺项整改施工。</w:t>
            </w:r>
          </w:p>
          <w:p w14:paraId="04779E4D">
            <w:pPr>
              <w:spacing w:line="360" w:lineRule="auto"/>
              <w:jc w:val="left"/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1202开关柜送电失败，初步分析原因有：消谐装置、熔断器，互感器损坏，协调厂家生产，现场要求泰开厂家技术人员继续排查问题原因，确保一周后安装不再出问题。</w:t>
            </w:r>
          </w:p>
          <w:p w14:paraId="4259BFFA">
            <w:pPr>
              <w:spacing w:line="360" w:lineRule="auto"/>
              <w:jc w:val="left"/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土建安排人员对原厂区围栏进行清理，油漆破损部位进行重新刷漆。</w:t>
            </w:r>
          </w:p>
          <w:p w14:paraId="436061F9">
            <w:pPr>
              <w:spacing w:line="360" w:lineRule="auto"/>
              <w:jc w:val="left"/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防火墙和大门柱经业主确认使用真石漆，大门柱颜色与110变电站相同，防火墙颜色采用色卡中00NN/72/000积雪灰。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7F4706D1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19C7B8F1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消缺项整改</w:t>
            </w: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C4DE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147240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6FDD2320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232</Words>
  <Characters>253</Characters>
  <Lines>3</Lines>
  <Paragraphs>1</Paragraphs>
  <TotalTime>159</TotalTime>
  <ScaleCrop>false</ScaleCrop>
  <LinksUpToDate>false</LinksUpToDate>
  <CharactersWithSpaces>377</CharactersWithSpaces>
  <Application>WPS Office_12.1.0.20754_F1E327BC-269C-435d-A152-05C5408002CA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2025-03-22T07:25:40Z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2052-12.1.0.20754</vt:lpwstr>
  </property>
  <property fmtid="{D5CDD505-2E9C-101B-9397-08002B2CF9AE}" pid="3" name="ICV">
    <vt:lpwstr>623246C96BB544DAAFFE7B5EED2C3F3E_13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