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  <w:ind w:firstLine="900" w:firstLineChars="2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常州亿晶100MWp“渔光一体”光伏发电项目</w:t>
      </w:r>
    </w:p>
    <w:p>
      <w:pPr>
        <w:spacing w:after="240"/>
        <w:ind w:firstLine="800" w:firstLineChars="250"/>
        <w:jc w:val="center"/>
        <w:rPr>
          <w:rFonts w:ascii="仿宋_GB2312" w:eastAsia="仿宋_GB2312"/>
          <w:sz w:val="32"/>
        </w:rPr>
      </w:pPr>
    </w:p>
    <w:p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hint="eastAsia" w:eastAsia="黑体"/>
          <w:b/>
          <w:shadow/>
          <w:sz w:val="72"/>
        </w:rPr>
        <w:t>监理月报</w:t>
      </w:r>
    </w:p>
    <w:p>
      <w:pPr>
        <w:ind w:firstLine="3360" w:firstLineChars="1200"/>
        <w:rPr>
          <w:rFonts w:ascii="微软简标宋" w:eastAsia="微软简标宋"/>
          <w:sz w:val="28"/>
        </w:rPr>
      </w:pPr>
      <w:r>
        <w:rPr>
          <w:rFonts w:hint="eastAsia" w:ascii="微软简标宋" w:eastAsia="微软简标宋"/>
          <w:sz w:val="28"/>
        </w:rPr>
        <w:t>第</w:t>
      </w:r>
      <w:r>
        <w:rPr>
          <w:rFonts w:hint="eastAsia" w:ascii="微软简标宋" w:eastAsia="微软简标宋"/>
          <w:sz w:val="28"/>
          <w:u w:val="single"/>
        </w:rPr>
        <w:t>　04　</w:t>
      </w:r>
      <w:r>
        <w:rPr>
          <w:rFonts w:hint="eastAsia" w:ascii="微软简标宋" w:eastAsia="微软简标宋"/>
          <w:sz w:val="28"/>
        </w:rPr>
        <w:t>期</w:t>
      </w:r>
    </w:p>
    <w:p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01</w:t>
      </w:r>
      <w:r>
        <w:rPr>
          <w:rFonts w:hint="eastAsia"/>
          <w:sz w:val="28"/>
        </w:rPr>
        <w:t>日　至　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30</w:t>
      </w:r>
      <w:r>
        <w:rPr>
          <w:rFonts w:hint="eastAsia"/>
          <w:sz w:val="28"/>
        </w:rPr>
        <w:t>日</w:t>
      </w:r>
    </w:p>
    <w:p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rPr>
          <w:b/>
          <w:sz w:val="28"/>
          <w:u w:val="single"/>
        </w:rPr>
      </w:pPr>
      <w:r>
        <w:rPr>
          <w:rFonts w:hint="eastAsia"/>
          <w:sz w:val="28"/>
        </w:rPr>
        <w:t>　　　　</w:t>
      </w:r>
      <w:r>
        <w:rPr>
          <w:rFonts w:hint="eastAsia"/>
          <w:b/>
          <w:sz w:val="28"/>
        </w:rPr>
        <w:t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 </w:t>
      </w:r>
    </w:p>
    <w:p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>　　　　　　　总监理工程师：</w:t>
      </w:r>
      <w:r>
        <w:rPr>
          <w:rFonts w:hint="eastAsia"/>
          <w:b/>
          <w:sz w:val="28"/>
          <w:u w:val="single"/>
        </w:rPr>
        <w:t>　　　      　　　　　　　</w:t>
      </w:r>
    </w:p>
    <w:p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        期：</w:t>
      </w:r>
      <w:r>
        <w:rPr>
          <w:rFonts w:hint="eastAsia"/>
          <w:b/>
          <w:sz w:val="28"/>
          <w:u w:val="single"/>
        </w:rPr>
        <w:t>　　　　2015.04.30　　　　　</w:t>
      </w:r>
    </w:p>
    <w:p>
      <w:pPr>
        <w:ind w:firstLine="1800" w:firstLineChars="750"/>
        <w:rPr>
          <w:rFonts w:eastAsia="隶书"/>
          <w:sz w:val="24"/>
        </w:rPr>
      </w:pPr>
    </w:p>
    <w:p>
      <w:pPr>
        <w:ind w:firstLine="2880" w:firstLineChars="1200"/>
        <w:rPr>
          <w:rFonts w:eastAsia="隶书"/>
          <w:sz w:val="24"/>
        </w:rPr>
      </w:pPr>
    </w:p>
    <w:p>
      <w:pPr>
        <w:ind w:firstLine="2880" w:firstLineChars="1200"/>
        <w:rPr>
          <w:rFonts w:eastAsia="隶书"/>
          <w:sz w:val="24"/>
        </w:rPr>
      </w:pPr>
      <w:r>
        <w:rPr>
          <w:rFonts w:hint="eastAsia" w:eastAsia="隶书"/>
          <w:sz w:val="24"/>
        </w:rPr>
        <w:t>江苏省建设厅监制</w:t>
      </w:r>
    </w:p>
    <w:p>
      <w:pPr>
        <w:pStyle w:val="2"/>
        <w:spacing w:after="120"/>
        <w:rPr>
          <w:rFonts w:eastAsia="宋体"/>
          <w:b w:val="0"/>
          <w:shadow/>
          <w:sz w:val="24"/>
        </w:rPr>
      </w:pPr>
      <w:r>
        <w:rPr>
          <w:rFonts w:hint="eastAsia" w:eastAsia="宋体"/>
          <w:b w:val="0"/>
          <w:shadow/>
          <w:sz w:val="24"/>
        </w:rPr>
        <w:t>A8-1</w:t>
      </w:r>
    </w:p>
    <w:p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hint="eastAsia" w:eastAsia="黑体"/>
          <w:b/>
          <w:shadow/>
          <w:sz w:val="44"/>
        </w:rPr>
        <w:t>本月工程情况概要</w:t>
      </w:r>
    </w:p>
    <w:p>
      <w:pPr>
        <w:spacing w:after="120"/>
        <w:jc w:val="center"/>
        <w:rPr>
          <w:b/>
          <w:sz w:val="24"/>
        </w:rPr>
      </w:pPr>
    </w:p>
    <w:tbl>
      <w:tblPr>
        <w:tblStyle w:val="6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26天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1/份</w:t>
            </w:r>
          </w:p>
        </w:tc>
        <w:tc>
          <w:tcPr>
            <w:tcW w:w="2160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5份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59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00" w:lineRule="atLeast"/>
              <w:ind w:firstLine="600" w:firstLineChars="250"/>
              <w:rPr>
                <w:sz w:val="24"/>
              </w:rPr>
            </w:pPr>
          </w:p>
          <w:p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1、4月3日，110KV升压站主变油枕归位。</w:t>
            </w:r>
            <w:r>
              <w:rPr>
                <w:sz w:val="24"/>
              </w:rPr>
              <w:tab/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2、4月8日，110KV升压站设备进行常规检测。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3、4月9号上午，以常州市委书记闫立为首的相关领导领导亲临项目查看。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4、4月9号下午，110KV升压站设备主变灌油，进行旁站。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5、4月23日，110KV升压站设备单机调试。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6、4月24日，消防人员对110KV升压站进行检查。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7、4月26日，非施工人员（附近村民）进入施工现场捡垃圾，通知该村领导，并希望其进行管理。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right"/>
        <w:rPr>
          <w:rFonts w:ascii="华文隶书" w:eastAsia="华文隶书"/>
        </w:rPr>
      </w:pPr>
      <w:r>
        <w:rPr>
          <w:rFonts w:hint="eastAsia" w:ascii="华文隶书" w:eastAsia="华文隶书"/>
        </w:rPr>
        <w:t>江苏省建设厅监制</w:t>
      </w:r>
    </w:p>
    <w:p>
      <w:pPr>
        <w:pStyle w:val="2"/>
        <w:spacing w:after="0"/>
        <w:rPr>
          <w:rFonts w:ascii="宋体" w:eastAsia="宋体"/>
          <w:b w:val="0"/>
          <w:shadow/>
          <w:sz w:val="24"/>
        </w:rPr>
      </w:pPr>
      <w:r>
        <w:rPr>
          <w:rFonts w:hint="eastAsia" w:ascii="宋体" w:eastAsia="宋体"/>
          <w:b w:val="0"/>
          <w:shadow/>
          <w:sz w:val="24"/>
        </w:rPr>
        <w:t>A8-2</w:t>
      </w:r>
    </w:p>
    <w:p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本月工程质量控制情况评析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8"/>
        <w:gridCol w:w="1260"/>
        <w:gridCol w:w="306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2/次</w:t>
            </w:r>
          </w:p>
        </w:tc>
        <w:tc>
          <w:tcPr>
            <w:tcW w:w="3060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2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  <w:tc>
          <w:tcPr>
            <w:tcW w:w="3060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2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3060" w:type="dxa"/>
            <w:vAlign w:val="top"/>
          </w:tcPr>
          <w:p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其中一次验收合格计</w:t>
            </w:r>
          </w:p>
        </w:tc>
        <w:tc>
          <w:tcPr>
            <w:tcW w:w="1212" w:type="dxa"/>
            <w:vAlign w:val="top"/>
          </w:tcPr>
          <w:p>
            <w:pPr>
              <w:ind w:left="752"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spacing w:line="480" w:lineRule="exact"/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为了确保施工质量，要求每个班组必须有专门的质量负责人，盯在施工现场，对工程质量进行负责。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1.电气部分：安装要求专业性很强，必须由专职的电工进行操作，主要出现的问题包括，MC4插头接线不牢、插头接反、电缆破损、接地保护问题。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支架安装：要求必须严格按照施工交底技术施工，并且施工班组负责人亲自监督检查，对发现问题立即改正。主要出现的问题包括，支架安装组与组之间安装不平整，存在高低错差；缺少螺丝、弹垫、连接件；螺丝紧固不到位等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3.组件安装：首先，要求对施工人员加强组件保护意识，不可安装损坏组件，对组件会进行不定期的抽检。要求安装过程中，严格按照施工交底技术规范操作。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主要出现的问题包括，组件运输不当，出现划伤、隐裂，缺少弹垫、平垫、螺丝，螺丝紧固不到位等。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加大施工人员对组件的保护意识，自检意识。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加强设备的巡检力度，确保安全。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wordWrap w:val="0"/>
        <w:jc w:val="right"/>
        <w:rPr>
          <w:rFonts w:ascii="隶书" w:eastAsia="隶书"/>
        </w:rPr>
      </w:pPr>
      <w:r>
        <w:rPr>
          <w:rFonts w:hint="eastAsia" w:ascii="隶书" w:eastAsia="隶书"/>
        </w:rPr>
        <w:t xml:space="preserve">江苏省建设厅监制 </w:t>
      </w:r>
    </w:p>
    <w:p>
      <w:pPr>
        <w:pStyle w:val="2"/>
        <w:spacing w:after="0"/>
        <w:rPr>
          <w:rFonts w:ascii="宋体" w:eastAsia="宋体"/>
          <w:b w:val="0"/>
          <w:shadow/>
          <w:sz w:val="24"/>
        </w:rPr>
      </w:pPr>
      <w:r>
        <w:rPr>
          <w:rFonts w:hint="eastAsia"/>
        </w:rPr>
        <w:t>A8-3</w:t>
      </w:r>
    </w:p>
    <w:p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本月施工安全生产管理工作评析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40"/>
        <w:gridCol w:w="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本月施工生产安全管理工作情况登记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40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ind w:left="3553" w:leftChars="16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54" w:hRule="atLeast"/>
        </w:trPr>
        <w:tc>
          <w:tcPr>
            <w:tcW w:w="8520" w:type="dxa"/>
            <w:gridSpan w:val="3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施工单位安全生产管理状况：</w:t>
            </w:r>
          </w:p>
          <w:p>
            <w:pPr>
              <w:pStyle w:val="7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整体状况良好，工人能遵守规定的内容。</w:t>
            </w:r>
          </w:p>
          <w:p>
            <w:pPr>
              <w:pStyle w:val="7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吊装过程中，加强人员的培训，正确的对应起吊、试吊的过程。加强了对吊装人员施工作业证的检查，包括对吊车的年审、安全检查，确保无任何安全隐患。</w:t>
            </w:r>
          </w:p>
          <w:p>
            <w:pPr>
              <w:pStyle w:val="7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加强了动火、动电的管理，在用到电时，必须有专门的电工进行接入，并且检查防护措施。动火时，必须开具动火证，同时要求各项消防设施到场，电焊等要求具有专业资格证书。</w:t>
            </w:r>
          </w:p>
          <w:p>
            <w:pPr>
              <w:pStyle w:val="7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加强安全防水工作：要求施工单位加强防水工作意识，对设备、材料集中统一管理，做好相应的防水工作，及时对现场积水区域排水。</w:t>
            </w:r>
          </w:p>
          <w:p>
            <w:pPr>
              <w:spacing w:line="4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监理单位履行监理安全责任情况：</w:t>
            </w:r>
          </w:p>
          <w:p>
            <w:pPr>
              <w:spacing w:line="480" w:lineRule="exact"/>
              <w:ind w:firstLine="420" w:firstLineChars="1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1、针对现场实际，对场区施工安全隐患监理下发1份通知单，要求各单位进行隐患防护。</w:t>
            </w:r>
          </w:p>
          <w:p>
            <w:pPr>
              <w:spacing w:line="480" w:lineRule="exact"/>
              <w:ind w:firstLine="420" w:firstLineChars="1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2、坚持做到每天与施工单位，就有关安全管理工作情况及时沟通交流，必要时通报业主。</w:t>
            </w:r>
          </w:p>
        </w:tc>
      </w:tr>
    </w:tbl>
    <w:p>
      <w:pPr>
        <w:jc w:val="right"/>
        <w:rPr>
          <w:rFonts w:ascii="隶书" w:eastAsia="隶书"/>
        </w:rPr>
      </w:pPr>
      <w:r>
        <w:rPr>
          <w:rFonts w:hint="eastAsia" w:ascii="隶书" w:eastAsia="隶书"/>
        </w:rPr>
        <w:t>江苏省建设厅监制</w:t>
      </w:r>
    </w:p>
    <w:p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hint="eastAsia" w:ascii="宋体"/>
          <w:shadow/>
          <w:sz w:val="24"/>
        </w:rPr>
        <w:t>A8-4</w:t>
      </w:r>
    </w:p>
    <w:p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本月工程进度控制情况评析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35"/>
        <w:gridCol w:w="1887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2014年12月25日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2013年6月25日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235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/天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03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8520" w:type="dxa"/>
            <w:gridSpan w:val="5"/>
            <w:vAlign w:val="top"/>
          </w:tcPr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1.在正常施工的情况下，工程进度与每周预计的计划相符，甚至超过预计施工情况。不正常的情况（天气因素、材料缺货等）。</w:t>
            </w:r>
          </w:p>
          <w:p>
            <w:pPr>
              <w:spacing w:line="480" w:lineRule="exact"/>
              <w:ind w:left="1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2.施工人数250人。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3.总体施工情况：支架安装65MW,组件安装60MW，电气施工进度42MW，</w:t>
            </w:r>
          </w:p>
          <w:p>
            <w:pPr>
              <w:spacing w:line="480" w:lineRule="exact"/>
              <w:ind w:firstLine="422" w:firstLineChars="17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20" w:type="dxa"/>
            <w:gridSpan w:val="5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50" w:hRule="atLeast"/>
        </w:trPr>
        <w:tc>
          <w:tcPr>
            <w:tcW w:w="8520" w:type="dxa"/>
            <w:gridSpan w:val="5"/>
            <w:vAlign w:val="top"/>
          </w:tcPr>
          <w:p>
            <w:pPr>
              <w:ind w:firstLine="360" w:firstLineChars="150"/>
              <w:rPr>
                <w:rFonts w:hint="eastAsia" w:ascii="宋体"/>
                <w:sz w:val="24"/>
              </w:rPr>
            </w:pPr>
          </w:p>
          <w:p>
            <w:pPr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根据施工计划安排，在不影响质量的情况下，最大程度的增加施工量，以便加快施工速度。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24" w:firstLineChars="176"/>
              <w:rPr>
                <w:rFonts w:ascii="宋体"/>
                <w:b/>
                <w:sz w:val="24"/>
              </w:rPr>
            </w:pPr>
          </w:p>
        </w:tc>
      </w:tr>
    </w:tbl>
    <w:p>
      <w:pPr>
        <w:jc w:val="right"/>
        <w:rPr>
          <w:rFonts w:ascii="隶书" w:eastAsia="隶书"/>
        </w:rPr>
      </w:pPr>
      <w:r>
        <w:rPr>
          <w:rFonts w:hint="eastAsia" w:ascii="隶书" w:eastAsia="隶书"/>
        </w:rPr>
        <w:t>江苏省建设厅监制</w:t>
      </w:r>
    </w:p>
    <w:p>
      <w:pPr>
        <w:pageBreakBefore/>
        <w:jc w:val="right"/>
        <w:rPr>
          <w:rFonts w:ascii="宋体"/>
          <w:shadow/>
          <w:sz w:val="24"/>
        </w:rPr>
      </w:pPr>
      <w:r>
        <w:rPr>
          <w:rFonts w:hint="eastAsia" w:ascii="宋体"/>
          <w:shadow/>
          <w:sz w:val="24"/>
        </w:rPr>
        <w:t>A8-5</w:t>
      </w:r>
    </w:p>
    <w:p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本月费用控制情况评析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1440"/>
        <w:gridCol w:w="540"/>
        <w:gridCol w:w="22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0" w:hRule="atLeast"/>
        </w:trPr>
        <w:tc>
          <w:tcPr>
            <w:tcW w:w="370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                 约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0" w:hRule="atLeast"/>
        </w:trPr>
        <w:tc>
          <w:tcPr>
            <w:tcW w:w="370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                      　　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3" w:leftChars="168"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top"/>
          </w:tcPr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top"/>
          </w:tcPr>
          <w:p>
            <w:pPr>
              <w:ind w:left="87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3"/>
            <w:vAlign w:val="top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费用支付主要由建设单位控制。</w:t>
            </w: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由业主单位控制。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right"/>
        <w:rPr>
          <w:rFonts w:eastAsia="隶书"/>
        </w:rPr>
      </w:pPr>
      <w:r>
        <w:rPr>
          <w:rFonts w:hint="eastAsia" w:eastAsia="隶书"/>
        </w:rPr>
        <w:t>江苏省建设厅监制</w:t>
      </w:r>
    </w:p>
    <w:p>
      <w:pPr>
        <w:jc w:val="both"/>
        <w:rPr>
          <w:rFonts w:eastAsia="隶书"/>
          <w:sz w:val="24"/>
        </w:rPr>
      </w:pPr>
    </w:p>
    <w:p>
      <w:pPr>
        <w:jc w:val="right"/>
        <w:rPr>
          <w:rFonts w:eastAsia="隶书"/>
        </w:rPr>
      </w:pPr>
      <w:r>
        <w:rPr>
          <w:rFonts w:hint="eastAsia" w:eastAsia="隶书"/>
          <w:sz w:val="24"/>
        </w:rPr>
        <w:t>A8-6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本月工程其它事项</w:t>
      </w:r>
    </w:p>
    <w:p>
      <w:pPr>
        <w:jc w:val="center"/>
        <w:rPr>
          <w:rFonts w:eastAsia="黑体"/>
          <w:sz w:val="22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  <w:bookmarkStart w:id="0" w:name="_GoBack"/>
            <w:bookmarkEnd w:id="0"/>
          </w:p>
        </w:tc>
      </w:tr>
    </w:tbl>
    <w:p>
      <w:pPr>
        <w:jc w:val="right"/>
        <w:rPr>
          <w:rFonts w:eastAsia="黑体"/>
          <w:sz w:val="36"/>
        </w:rPr>
      </w:pPr>
      <w:r>
        <w:rPr>
          <w:rFonts w:hint="eastAsia" w:eastAsia="隶书"/>
        </w:rPr>
        <w:t>江苏省建设厅监制</w:t>
      </w:r>
    </w:p>
    <w:p/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隶书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隶书">
    <w:altName w:val="微软雅黑"/>
    <w:panose1 w:val="00000000000000000000"/>
    <w:charset w:val="86"/>
    <w:family w:val="auto"/>
    <w:pitch w:val="default"/>
    <w:sig w:usb0="00000000" w:usb1="080F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58600325">
    <w:nsid w:val="2D375285"/>
    <w:multiLevelType w:val="multilevel"/>
    <w:tmpl w:val="2D37528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6949250">
    <w:nsid w:val="2A233082"/>
    <w:multiLevelType w:val="multilevel"/>
    <w:tmpl w:val="2A233082"/>
    <w:lvl w:ilvl="0" w:tentative="1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19" w:hanging="420"/>
      </w:pPr>
    </w:lvl>
    <w:lvl w:ilvl="2" w:tentative="1">
      <w:start w:val="1"/>
      <w:numFmt w:val="lowerRoman"/>
      <w:lvlText w:val="%3."/>
      <w:lvlJc w:val="right"/>
      <w:pPr>
        <w:ind w:left="1739" w:hanging="420"/>
      </w:pPr>
    </w:lvl>
    <w:lvl w:ilvl="3" w:tentative="1">
      <w:start w:val="1"/>
      <w:numFmt w:val="decimal"/>
      <w:lvlText w:val="%4."/>
      <w:lvlJc w:val="left"/>
      <w:pPr>
        <w:ind w:left="2159" w:hanging="420"/>
      </w:pPr>
    </w:lvl>
    <w:lvl w:ilvl="4" w:tentative="1">
      <w:start w:val="1"/>
      <w:numFmt w:val="lowerLetter"/>
      <w:lvlText w:val="%5)"/>
      <w:lvlJc w:val="left"/>
      <w:pPr>
        <w:ind w:left="2579" w:hanging="420"/>
      </w:pPr>
    </w:lvl>
    <w:lvl w:ilvl="5" w:tentative="1">
      <w:start w:val="1"/>
      <w:numFmt w:val="lowerRoman"/>
      <w:lvlText w:val="%6."/>
      <w:lvlJc w:val="right"/>
      <w:pPr>
        <w:ind w:left="2999" w:hanging="420"/>
      </w:pPr>
    </w:lvl>
    <w:lvl w:ilvl="6" w:tentative="1">
      <w:start w:val="1"/>
      <w:numFmt w:val="decimal"/>
      <w:lvlText w:val="%7."/>
      <w:lvlJc w:val="left"/>
      <w:pPr>
        <w:ind w:left="3419" w:hanging="420"/>
      </w:pPr>
    </w:lvl>
    <w:lvl w:ilvl="7" w:tentative="1">
      <w:start w:val="1"/>
      <w:numFmt w:val="lowerLetter"/>
      <w:lvlText w:val="%8)"/>
      <w:lvlJc w:val="left"/>
      <w:pPr>
        <w:ind w:left="3839" w:hanging="420"/>
      </w:pPr>
    </w:lvl>
    <w:lvl w:ilvl="8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758600325"/>
  </w:num>
  <w:num w:numId="2">
    <w:abstractNumId w:val="7069492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392D"/>
    <w:rsid w:val="00004425"/>
    <w:rsid w:val="00007B17"/>
    <w:rsid w:val="00020795"/>
    <w:rsid w:val="00031410"/>
    <w:rsid w:val="0003371D"/>
    <w:rsid w:val="000337D0"/>
    <w:rsid w:val="00035C27"/>
    <w:rsid w:val="00037BEB"/>
    <w:rsid w:val="00044999"/>
    <w:rsid w:val="00051FE2"/>
    <w:rsid w:val="000533DC"/>
    <w:rsid w:val="00056441"/>
    <w:rsid w:val="00057362"/>
    <w:rsid w:val="000635CA"/>
    <w:rsid w:val="00066B56"/>
    <w:rsid w:val="00067DBD"/>
    <w:rsid w:val="0007154B"/>
    <w:rsid w:val="00072F0F"/>
    <w:rsid w:val="000744EC"/>
    <w:rsid w:val="00084F7F"/>
    <w:rsid w:val="000858DF"/>
    <w:rsid w:val="00087282"/>
    <w:rsid w:val="000B1306"/>
    <w:rsid w:val="000B6C91"/>
    <w:rsid w:val="000D1131"/>
    <w:rsid w:val="000D6A60"/>
    <w:rsid w:val="000E33E4"/>
    <w:rsid w:val="00100049"/>
    <w:rsid w:val="00104703"/>
    <w:rsid w:val="001224A1"/>
    <w:rsid w:val="001257DC"/>
    <w:rsid w:val="00126822"/>
    <w:rsid w:val="00127393"/>
    <w:rsid w:val="001377A0"/>
    <w:rsid w:val="0013798A"/>
    <w:rsid w:val="00142778"/>
    <w:rsid w:val="00144394"/>
    <w:rsid w:val="00144D69"/>
    <w:rsid w:val="001472FA"/>
    <w:rsid w:val="00155378"/>
    <w:rsid w:val="00160BC6"/>
    <w:rsid w:val="00162919"/>
    <w:rsid w:val="00167F7A"/>
    <w:rsid w:val="00180B76"/>
    <w:rsid w:val="00185E20"/>
    <w:rsid w:val="00190361"/>
    <w:rsid w:val="001C6529"/>
    <w:rsid w:val="001D35FC"/>
    <w:rsid w:val="001D3C86"/>
    <w:rsid w:val="001E2C9B"/>
    <w:rsid w:val="001E5712"/>
    <w:rsid w:val="001F67F1"/>
    <w:rsid w:val="00200584"/>
    <w:rsid w:val="00205506"/>
    <w:rsid w:val="00205BD7"/>
    <w:rsid w:val="002135C0"/>
    <w:rsid w:val="00213A19"/>
    <w:rsid w:val="00214C42"/>
    <w:rsid w:val="0022043E"/>
    <w:rsid w:val="00225DB8"/>
    <w:rsid w:val="0022719A"/>
    <w:rsid w:val="00237935"/>
    <w:rsid w:val="00244187"/>
    <w:rsid w:val="00256D2C"/>
    <w:rsid w:val="00260C96"/>
    <w:rsid w:val="00276C70"/>
    <w:rsid w:val="00286D9F"/>
    <w:rsid w:val="002A033E"/>
    <w:rsid w:val="002A21BB"/>
    <w:rsid w:val="002B6B4D"/>
    <w:rsid w:val="002C55C6"/>
    <w:rsid w:val="002E0EB0"/>
    <w:rsid w:val="002E756A"/>
    <w:rsid w:val="002F29F7"/>
    <w:rsid w:val="002F7E10"/>
    <w:rsid w:val="00305B53"/>
    <w:rsid w:val="0030710E"/>
    <w:rsid w:val="003265B7"/>
    <w:rsid w:val="0033128C"/>
    <w:rsid w:val="00337D51"/>
    <w:rsid w:val="00343AB6"/>
    <w:rsid w:val="003452B1"/>
    <w:rsid w:val="00346FC6"/>
    <w:rsid w:val="00351C6C"/>
    <w:rsid w:val="00356229"/>
    <w:rsid w:val="00357152"/>
    <w:rsid w:val="003632C6"/>
    <w:rsid w:val="003673CF"/>
    <w:rsid w:val="00383402"/>
    <w:rsid w:val="00383FCE"/>
    <w:rsid w:val="00385CC2"/>
    <w:rsid w:val="003869EF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4053E1"/>
    <w:rsid w:val="00410FF9"/>
    <w:rsid w:val="00411C8A"/>
    <w:rsid w:val="00414ACA"/>
    <w:rsid w:val="00427783"/>
    <w:rsid w:val="00427943"/>
    <w:rsid w:val="00430585"/>
    <w:rsid w:val="00430F30"/>
    <w:rsid w:val="00436E3B"/>
    <w:rsid w:val="00444BCD"/>
    <w:rsid w:val="00445528"/>
    <w:rsid w:val="0045173D"/>
    <w:rsid w:val="0046334B"/>
    <w:rsid w:val="004858F6"/>
    <w:rsid w:val="00495315"/>
    <w:rsid w:val="004A2DDB"/>
    <w:rsid w:val="004A397A"/>
    <w:rsid w:val="004A4346"/>
    <w:rsid w:val="004B1620"/>
    <w:rsid w:val="004B3FDF"/>
    <w:rsid w:val="004B5EE1"/>
    <w:rsid w:val="004B727F"/>
    <w:rsid w:val="004C151F"/>
    <w:rsid w:val="004C15CD"/>
    <w:rsid w:val="004C25CF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35C7C"/>
    <w:rsid w:val="0054627C"/>
    <w:rsid w:val="00551CF8"/>
    <w:rsid w:val="00553F8F"/>
    <w:rsid w:val="00562BE8"/>
    <w:rsid w:val="00562ED9"/>
    <w:rsid w:val="00571011"/>
    <w:rsid w:val="00571303"/>
    <w:rsid w:val="00573E80"/>
    <w:rsid w:val="005868A5"/>
    <w:rsid w:val="005A12AE"/>
    <w:rsid w:val="005A4E5A"/>
    <w:rsid w:val="005B598E"/>
    <w:rsid w:val="005D715A"/>
    <w:rsid w:val="005E1F71"/>
    <w:rsid w:val="005E59DB"/>
    <w:rsid w:val="005F13DA"/>
    <w:rsid w:val="005F1C59"/>
    <w:rsid w:val="005F455A"/>
    <w:rsid w:val="005F6DE3"/>
    <w:rsid w:val="0060070B"/>
    <w:rsid w:val="00600BEF"/>
    <w:rsid w:val="0061064D"/>
    <w:rsid w:val="00610967"/>
    <w:rsid w:val="00624253"/>
    <w:rsid w:val="00626687"/>
    <w:rsid w:val="00633BBB"/>
    <w:rsid w:val="006346EE"/>
    <w:rsid w:val="00634977"/>
    <w:rsid w:val="00635DE8"/>
    <w:rsid w:val="00645D82"/>
    <w:rsid w:val="00646DB0"/>
    <w:rsid w:val="00654436"/>
    <w:rsid w:val="0067707C"/>
    <w:rsid w:val="00682236"/>
    <w:rsid w:val="0068365C"/>
    <w:rsid w:val="006875AD"/>
    <w:rsid w:val="006A597E"/>
    <w:rsid w:val="006B6058"/>
    <w:rsid w:val="006B780E"/>
    <w:rsid w:val="006C0750"/>
    <w:rsid w:val="006C39A9"/>
    <w:rsid w:val="006C45CA"/>
    <w:rsid w:val="006D0ECA"/>
    <w:rsid w:val="006D2B32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231FA"/>
    <w:rsid w:val="0073265A"/>
    <w:rsid w:val="00751547"/>
    <w:rsid w:val="00751B28"/>
    <w:rsid w:val="00754F4F"/>
    <w:rsid w:val="00772489"/>
    <w:rsid w:val="00783907"/>
    <w:rsid w:val="0079125D"/>
    <w:rsid w:val="00792548"/>
    <w:rsid w:val="007A2759"/>
    <w:rsid w:val="007A32CB"/>
    <w:rsid w:val="007A34F8"/>
    <w:rsid w:val="007A4F36"/>
    <w:rsid w:val="007B6292"/>
    <w:rsid w:val="007C768C"/>
    <w:rsid w:val="007E4889"/>
    <w:rsid w:val="007F5915"/>
    <w:rsid w:val="007F78D8"/>
    <w:rsid w:val="0080540D"/>
    <w:rsid w:val="0080651D"/>
    <w:rsid w:val="008078F5"/>
    <w:rsid w:val="008203C4"/>
    <w:rsid w:val="00821CF7"/>
    <w:rsid w:val="00822FE5"/>
    <w:rsid w:val="00824818"/>
    <w:rsid w:val="00825714"/>
    <w:rsid w:val="0083139E"/>
    <w:rsid w:val="00832FF9"/>
    <w:rsid w:val="00834C5E"/>
    <w:rsid w:val="00862AA4"/>
    <w:rsid w:val="0086344A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7C43"/>
    <w:rsid w:val="008D7C44"/>
    <w:rsid w:val="008F0ECD"/>
    <w:rsid w:val="00903D3D"/>
    <w:rsid w:val="009137EC"/>
    <w:rsid w:val="00915441"/>
    <w:rsid w:val="009167C4"/>
    <w:rsid w:val="00917AF5"/>
    <w:rsid w:val="0092695A"/>
    <w:rsid w:val="0093066A"/>
    <w:rsid w:val="00937F61"/>
    <w:rsid w:val="00947F83"/>
    <w:rsid w:val="00951907"/>
    <w:rsid w:val="009532BD"/>
    <w:rsid w:val="00966AEA"/>
    <w:rsid w:val="00974AD4"/>
    <w:rsid w:val="0098554F"/>
    <w:rsid w:val="009971A0"/>
    <w:rsid w:val="0099724F"/>
    <w:rsid w:val="009A0FAE"/>
    <w:rsid w:val="009A4F40"/>
    <w:rsid w:val="009A5491"/>
    <w:rsid w:val="009B7900"/>
    <w:rsid w:val="009C05A0"/>
    <w:rsid w:val="009C2DF1"/>
    <w:rsid w:val="009C392D"/>
    <w:rsid w:val="009D29F1"/>
    <w:rsid w:val="009E6F34"/>
    <w:rsid w:val="009E7E73"/>
    <w:rsid w:val="009F176B"/>
    <w:rsid w:val="00A0237D"/>
    <w:rsid w:val="00A14A4E"/>
    <w:rsid w:val="00A16E37"/>
    <w:rsid w:val="00A24A16"/>
    <w:rsid w:val="00A25C8E"/>
    <w:rsid w:val="00A36985"/>
    <w:rsid w:val="00A3737F"/>
    <w:rsid w:val="00A40C77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4231"/>
    <w:rsid w:val="00AA482C"/>
    <w:rsid w:val="00AA7B24"/>
    <w:rsid w:val="00AB0BEC"/>
    <w:rsid w:val="00AB105B"/>
    <w:rsid w:val="00AB2988"/>
    <w:rsid w:val="00AC73AB"/>
    <w:rsid w:val="00AD0964"/>
    <w:rsid w:val="00AD46F4"/>
    <w:rsid w:val="00AD7F6F"/>
    <w:rsid w:val="00AE0C00"/>
    <w:rsid w:val="00AE52B5"/>
    <w:rsid w:val="00AE5C94"/>
    <w:rsid w:val="00AE605D"/>
    <w:rsid w:val="00AF46BB"/>
    <w:rsid w:val="00B25B0D"/>
    <w:rsid w:val="00B26BAF"/>
    <w:rsid w:val="00B35366"/>
    <w:rsid w:val="00B3679B"/>
    <w:rsid w:val="00B36864"/>
    <w:rsid w:val="00B474FB"/>
    <w:rsid w:val="00B47997"/>
    <w:rsid w:val="00B64EE3"/>
    <w:rsid w:val="00B66098"/>
    <w:rsid w:val="00B77A31"/>
    <w:rsid w:val="00B77BEA"/>
    <w:rsid w:val="00B77E64"/>
    <w:rsid w:val="00B83114"/>
    <w:rsid w:val="00B9347A"/>
    <w:rsid w:val="00B93FFC"/>
    <w:rsid w:val="00BA1539"/>
    <w:rsid w:val="00BA4070"/>
    <w:rsid w:val="00BA5240"/>
    <w:rsid w:val="00BC1FB1"/>
    <w:rsid w:val="00BC3B38"/>
    <w:rsid w:val="00BE4F76"/>
    <w:rsid w:val="00BE7081"/>
    <w:rsid w:val="00BF33A6"/>
    <w:rsid w:val="00BF44B4"/>
    <w:rsid w:val="00BF44B6"/>
    <w:rsid w:val="00BF6380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183"/>
    <w:rsid w:val="00CB4E88"/>
    <w:rsid w:val="00CC60AF"/>
    <w:rsid w:val="00CD31F9"/>
    <w:rsid w:val="00CF773A"/>
    <w:rsid w:val="00D06226"/>
    <w:rsid w:val="00D07939"/>
    <w:rsid w:val="00D20C66"/>
    <w:rsid w:val="00D21479"/>
    <w:rsid w:val="00D23F40"/>
    <w:rsid w:val="00D41412"/>
    <w:rsid w:val="00D47BBD"/>
    <w:rsid w:val="00D73169"/>
    <w:rsid w:val="00D76D0F"/>
    <w:rsid w:val="00D824AE"/>
    <w:rsid w:val="00DA0A06"/>
    <w:rsid w:val="00DA3133"/>
    <w:rsid w:val="00DA6D99"/>
    <w:rsid w:val="00DB36BB"/>
    <w:rsid w:val="00DB3F4A"/>
    <w:rsid w:val="00DB4573"/>
    <w:rsid w:val="00DB5B60"/>
    <w:rsid w:val="00DC6CC0"/>
    <w:rsid w:val="00DD0519"/>
    <w:rsid w:val="00DD4A4B"/>
    <w:rsid w:val="00DD651A"/>
    <w:rsid w:val="00DE5C05"/>
    <w:rsid w:val="00DE6160"/>
    <w:rsid w:val="00DE7AC4"/>
    <w:rsid w:val="00E0420D"/>
    <w:rsid w:val="00E05FF7"/>
    <w:rsid w:val="00E11D4D"/>
    <w:rsid w:val="00E14745"/>
    <w:rsid w:val="00E23099"/>
    <w:rsid w:val="00E249B3"/>
    <w:rsid w:val="00E2717F"/>
    <w:rsid w:val="00E3099D"/>
    <w:rsid w:val="00E31BD2"/>
    <w:rsid w:val="00E359CF"/>
    <w:rsid w:val="00E41C48"/>
    <w:rsid w:val="00E41FE5"/>
    <w:rsid w:val="00E43540"/>
    <w:rsid w:val="00E55080"/>
    <w:rsid w:val="00E609DC"/>
    <w:rsid w:val="00E60EFD"/>
    <w:rsid w:val="00E7096F"/>
    <w:rsid w:val="00E717D8"/>
    <w:rsid w:val="00E763DC"/>
    <w:rsid w:val="00E76BA5"/>
    <w:rsid w:val="00E92CE3"/>
    <w:rsid w:val="00EA4E63"/>
    <w:rsid w:val="00EB568F"/>
    <w:rsid w:val="00EC6F7C"/>
    <w:rsid w:val="00EC7243"/>
    <w:rsid w:val="00ED04A0"/>
    <w:rsid w:val="00EF4821"/>
    <w:rsid w:val="00F04B1E"/>
    <w:rsid w:val="00F061E7"/>
    <w:rsid w:val="00F0757F"/>
    <w:rsid w:val="00F112A6"/>
    <w:rsid w:val="00F20BA7"/>
    <w:rsid w:val="00F25B05"/>
    <w:rsid w:val="00F271F2"/>
    <w:rsid w:val="00F329C0"/>
    <w:rsid w:val="00F3735A"/>
    <w:rsid w:val="00F4093E"/>
    <w:rsid w:val="00F409C5"/>
    <w:rsid w:val="00F52C44"/>
    <w:rsid w:val="00F53318"/>
    <w:rsid w:val="00F54E20"/>
    <w:rsid w:val="00F54F80"/>
    <w:rsid w:val="00F6116E"/>
    <w:rsid w:val="00F61C19"/>
    <w:rsid w:val="00F62123"/>
    <w:rsid w:val="00F67EA6"/>
    <w:rsid w:val="00F72E68"/>
    <w:rsid w:val="00F7368C"/>
    <w:rsid w:val="00F746C5"/>
    <w:rsid w:val="00F76BBA"/>
    <w:rsid w:val="00F76ED3"/>
    <w:rsid w:val="00F77564"/>
    <w:rsid w:val="00F85B67"/>
    <w:rsid w:val="00FA797C"/>
    <w:rsid w:val="00FB1CBF"/>
    <w:rsid w:val="00FB66D0"/>
    <w:rsid w:val="00FC6041"/>
    <w:rsid w:val="00FC6400"/>
    <w:rsid w:val="00FD009F"/>
    <w:rsid w:val="00FD61B2"/>
    <w:rsid w:val="00FD6CF5"/>
    <w:rsid w:val="158B51E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5"/>
    <w:link w:val="2"/>
    <w:uiPriority w:val="0"/>
    <w:rPr>
      <w:rFonts w:ascii="Times New Roman" w:hAnsi="Times New Roman" w:eastAsia="微软简标宋" w:cs="Times New Roman"/>
      <w:b/>
      <w:sz w:val="28"/>
      <w:szCs w:val="20"/>
    </w:rPr>
  </w:style>
  <w:style w:type="character" w:customStyle="1" w:styleId="9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340</Words>
  <Characters>1938</Characters>
  <Lines>16</Lines>
  <Paragraphs>4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2015-05-23T04:13:00Z</dcterms:created>
  <dc:creator>User</dc:creator>
  <cp:lastModifiedBy>孙李宾</cp:lastModifiedBy>
  <cp:lastPrinted>2012-11-02T02:44:00Z</cp:lastPrinted>
  <dcterms:modified xsi:type="dcterms:W3CDTF">2015-10-17T09:39:57Z</dcterms:modified>
  <dc:title>常州亿晶100MWp“渔光一体”光伏发电项目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