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hint="eastAsia" w:hAnsi="宋体"/>
          <w:color w:val="auto"/>
          <w:sz w:val="21"/>
        </w:rPr>
      </w:pPr>
    </w:p>
    <w:p>
      <w:pPr>
        <w:ind w:firstLine="3129" w:firstLineChars="1490"/>
        <w:rPr>
          <w:rFonts w:hint="eastAsia" w:ascii="宋体" w:hAnsi="宋体"/>
        </w:rPr>
      </w:pPr>
      <w:r>
        <w:t xml:space="preserve">                           </w:t>
      </w:r>
      <w:r>
        <w:rPr>
          <w:rFonts w:hint="eastAsia" w:ascii="宋体" w:hAnsi="宋体"/>
        </w:rPr>
        <w:t>编号：</w:t>
      </w:r>
      <w:r>
        <w:rPr>
          <w:rFonts w:hint="eastAsia"/>
          <w:b/>
        </w:rPr>
        <w:t>JXMB17</w:t>
      </w:r>
      <w:r>
        <w:rPr>
          <w:rFonts w:hint="eastAsia"/>
          <w:b/>
          <w:lang w:val="en-US" w:eastAsia="zh-CN"/>
        </w:rPr>
        <w:t>--002</w:t>
      </w:r>
    </w:p>
    <w:p>
      <w:pPr>
        <w:ind w:firstLine="3129" w:firstLineChars="1490"/>
        <w:rPr>
          <w:rFonts w:hint="eastAsia" w:ascii="宋体" w:hAnsi="宋体"/>
        </w:rPr>
      </w:pPr>
      <w:r>
        <w:t xml:space="preserve">              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</w:t>
      </w:r>
    </w:p>
    <w:p>
      <w:pPr>
        <w:rPr>
          <w:rFonts w:hint="eastAsia" w:ascii="宋体" w:hAnsi="宋体"/>
        </w:rPr>
      </w:pPr>
    </w:p>
    <w:p>
      <w:pPr>
        <w:pStyle w:val="11"/>
        <w:rPr>
          <w:rFonts w:hint="eastAsia"/>
          <w:color w:val="000000"/>
        </w:rPr>
      </w:pPr>
      <w:bookmarkStart w:id="0" w:name="_Toc263011214"/>
    </w:p>
    <w:p>
      <w:pPr>
        <w:pStyle w:val="11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监  理  月  报</w:t>
      </w:r>
      <w:bookmarkEnd w:id="0"/>
    </w:p>
    <w:p>
      <w:pPr>
        <w:topLinePunct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jc w:val="center"/>
        <w:rPr>
          <w:rFonts w:hint="eastAsia" w:ascii="Times" w:hAnsi="宋体"/>
          <w:color w:val="000000"/>
          <w:kern w:val="18"/>
          <w:sz w:val="24"/>
          <w:szCs w:val="24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Times" w:hAnsi="宋体"/>
          <w:color w:val="000000"/>
          <w:kern w:val="18"/>
          <w:sz w:val="24"/>
          <w:szCs w:val="24"/>
          <w:lang w:val="en-US" w:eastAsia="zh-CN"/>
        </w:rPr>
        <w:t>图木舒克市四通新能源第3师45团20MW光伏并网发电项目</w:t>
      </w: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2016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6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Times"/>
          <w:color w:val="000000"/>
          <w:kern w:val="18"/>
          <w:sz w:val="28"/>
          <w:szCs w:val="28"/>
        </w:rPr>
        <w:t xml:space="preserve">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监理项目部（章）：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/>
        <w:ind w:firstLine="3092" w:firstLineChars="1100"/>
        <w:rPr>
          <w:rFonts w:hint="eastAsia" w:ascii="Times" w:hAnsi="Times"/>
          <w:b/>
          <w:color w:val="000000"/>
          <w:kern w:val="18"/>
          <w:sz w:val="28"/>
          <w:szCs w:val="28"/>
          <w:u w:val="single"/>
        </w:rPr>
      </w:pPr>
    </w:p>
    <w:p>
      <w:pPr>
        <w:topLinePunct/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            </w:t>
      </w:r>
    </w:p>
    <w:p>
      <w:pPr>
        <w:topLinePunct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总监理工程师：</w:t>
      </w: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</w:rPr>
        <w:t>报告日期</w:t>
      </w: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2016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7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pStyle w:val="6"/>
        <w:jc w:val="both"/>
        <w:rPr>
          <w:rFonts w:hint="eastAsia"/>
        </w:rPr>
      </w:pPr>
    </w:p>
    <w:p>
      <w:pPr>
        <w:pStyle w:val="6"/>
        <w:spacing w:line="60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监  理  月  报</w:t>
      </w:r>
    </w:p>
    <w:p>
      <w:pPr>
        <w:topLinePunct/>
        <w:spacing w:line="60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工程名称： </w:t>
      </w:r>
      <w:r>
        <w:rPr>
          <w:rFonts w:hint="eastAsia" w:ascii="Times" w:hAnsi="宋体"/>
          <w:color w:val="000000"/>
          <w:kern w:val="18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/>
          <w:sz w:val="18"/>
          <w:szCs w:val="18"/>
        </w:rPr>
        <w:t xml:space="preserve"> </w:t>
      </w:r>
    </w:p>
    <w:p>
      <w:pPr>
        <w:topLinePunct/>
        <w:spacing w:line="48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月次：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  <w:lang w:val="en-US" w:eastAsia="zh-CN"/>
        </w:rPr>
        <w:t>第二月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 xml:space="preserve">  月报开始时间：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>2016年6月1日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 xml:space="preserve">  结束时间：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>2016年7月1 日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 xml:space="preserve"> </w:t>
      </w:r>
    </w:p>
    <w:p>
      <w:pPr>
        <w:topLinePunct/>
        <w:spacing w:line="480" w:lineRule="auto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监理单位：</w:t>
      </w:r>
      <w:r>
        <w:rPr>
          <w:rFonts w:hint="eastAsia"/>
          <w:sz w:val="18"/>
          <w:szCs w:val="18"/>
          <w:lang w:val="en-US" w:eastAsia="zh-CN"/>
        </w:rPr>
        <w:t>常州正衡电力工程监理有限公司</w:t>
      </w:r>
    </w:p>
    <w:p>
      <w:pPr>
        <w:pStyle w:val="8"/>
        <w:spacing w:line="480" w:lineRule="auto"/>
        <w:ind w:firstLine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一、工程影像资料</w:t>
      </w:r>
    </w:p>
    <w:tbl>
      <w:tblPr>
        <w:tblStyle w:val="5"/>
        <w:tblW w:w="9255" w:type="dxa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40"/>
        <w:gridCol w:w="2213"/>
        <w:gridCol w:w="1282"/>
        <w:gridCol w:w="1620"/>
        <w:gridCol w:w="1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单位工程标准名称</w:t>
            </w:r>
          </w:p>
        </w:tc>
        <w:tc>
          <w:tcPr>
            <w:tcW w:w="22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12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资料类型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资料数量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22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支架、组件安装</w:t>
            </w:r>
          </w:p>
        </w:tc>
        <w:tc>
          <w:tcPr>
            <w:tcW w:w="12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影像资料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18张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22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电气设备安装</w:t>
            </w:r>
          </w:p>
        </w:tc>
        <w:tc>
          <w:tcPr>
            <w:tcW w:w="12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影像资料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12张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22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电缆敷设</w:t>
            </w:r>
          </w:p>
        </w:tc>
        <w:tc>
          <w:tcPr>
            <w:tcW w:w="12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影像资料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15张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22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接地焊接</w:t>
            </w:r>
          </w:p>
        </w:tc>
        <w:tc>
          <w:tcPr>
            <w:tcW w:w="12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影像资料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8张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土建工程</w:t>
            </w:r>
          </w:p>
        </w:tc>
        <w:tc>
          <w:tcPr>
            <w:tcW w:w="22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开关站及室外设备基础施工</w:t>
            </w:r>
          </w:p>
        </w:tc>
        <w:tc>
          <w:tcPr>
            <w:tcW w:w="12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影像资料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10张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beforeLines="0" w:after="9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二、监理重点工作情况</w:t>
      </w:r>
    </w:p>
    <w:tbl>
      <w:tblPr>
        <w:tblStyle w:val="5"/>
        <w:tblW w:w="9270" w:type="dxa"/>
        <w:tblInd w:w="-3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25"/>
        <w:gridCol w:w="3015"/>
        <w:gridCol w:w="2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事项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before="80" w:beforeLines="0" w:after="80" w:afterLines="0" w:line="24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工程形象进度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本月开关站土建工程已基本完成，光伏区支架、组件安装完成95%，已近尾声，电气设备全部安装就位，电缆敷设完成95%，设备测试、调试完成80%，接地网焊接完成70%，围栏施工完成。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下个月整个电站将全部完成并网。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设备交付进度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所有设备全部交付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设计交付进度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土建及电器图纸全部到位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质量体系运行情况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质量体系健全，运行正常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继续加强现场质量管理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施工图会检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所有图纸完成会审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方案审查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施工组织设计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»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«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施工方案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»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«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作业指导书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»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等审查。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技术交底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所有施工技术交底已完成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设计变更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SVG变压器基础抬高500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安全培训情况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对所有进场施工人员进行了安全培训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加强施工现场安全管理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安全交底情况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对所有进场施工人员进行了安全交底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加强施工现场安全管理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安全措施落实情况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</w:t>
            </w:r>
            <w:r>
              <w:rPr>
                <w:rFonts w:hint="eastAsia" w:ascii="宋体" w:hAnsi="宋体"/>
                <w:sz w:val="18"/>
                <w:szCs w:val="18"/>
              </w:rPr>
              <w:t>安全措施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全部</w:t>
            </w:r>
            <w:r>
              <w:rPr>
                <w:rFonts w:hint="eastAsia" w:ascii="宋体" w:hAnsi="宋体"/>
                <w:sz w:val="18"/>
                <w:szCs w:val="18"/>
              </w:rPr>
              <w:t>落实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到位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加强施工现场安全用电及设备检测、调试的安全管控。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安全文明施工情况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施工现场没有出现野蛮施工，违规施工等现象。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继续加强施工现场</w:t>
            </w:r>
            <w:r>
              <w:rPr>
                <w:rFonts w:hint="eastAsia" w:ascii="宋体" w:hAnsi="宋体"/>
                <w:sz w:val="18"/>
                <w:szCs w:val="18"/>
              </w:rPr>
              <w:t>安全文明施工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管理力度。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主要工序质量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支架、组件安装局部需要整改，电气设备安装，电缆敷设，接地焊接质量合格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保证所有主要工序质量符合设计及规范要求。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主要原材料质量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支架、组件等主要原材料质量符合设计要求。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构（配）件质量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所有构配件数量齐全，质量满足设计要求。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设备质量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1562"/>
                <w:tab w:val="right" w:pos="3005"/>
              </w:tabs>
              <w:spacing w:before="80" w:beforeLines="0" w:after="80" w:afterLines="0" w:line="240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SVG集装箱成套设备，接地变高压开</w:t>
            </w:r>
          </w:p>
          <w:p>
            <w:pPr>
              <w:tabs>
                <w:tab w:val="center" w:pos="1562"/>
                <w:tab w:val="right" w:pos="3005"/>
              </w:tabs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关柜真空断路器局部元器件损坏。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联系生产厂家及时予以修复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质量验评情况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所有完成施工项目经检验全部合格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继续做好各施工工序、施工项目的验收工作，把好施工质量关。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项目资金运转正常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款项支付情况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严格按照合同约定完成所有设备、材料的款项支付，工程款项的支付。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预算外签证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</w:t>
            </w: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合同签订情况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施工合同，设备、材料的采购合同全部落实。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合同执行情况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合同执行情况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正常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beforeLines="0" w:after="80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三、本月进度情况</w:t>
      </w:r>
    </w:p>
    <w:tbl>
      <w:tblPr>
        <w:tblStyle w:val="5"/>
        <w:tblW w:w="9300" w:type="dxa"/>
        <w:tblInd w:w="-3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735"/>
        <w:gridCol w:w="975"/>
        <w:gridCol w:w="1035"/>
        <w:gridCol w:w="1050"/>
        <w:gridCol w:w="1020"/>
        <w:gridCol w:w="870"/>
        <w:gridCol w:w="885"/>
        <w:gridCol w:w="525"/>
        <w:gridCol w:w="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本月计划完成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本月实际完成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支架安装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2016、5、25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2016、6、25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组件安装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2016、6、10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2016、6、26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2016、6、11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电器设备安装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2016、5、20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2016、6、23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2016、5、20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电缆敷设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2016、6、1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2016、6、26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接地焊接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2016、5、15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2016、6、25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2016、5、16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设备测试、调试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2016、6、25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2016、6、28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2016、6、26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土建工程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设备基础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2016、5、5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2016、6、20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2016、6、20</w:t>
            </w: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土建工程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开关站主体施工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2016、6、26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2016、5、1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center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四、下月进度计划</w:t>
      </w:r>
    </w:p>
    <w:tbl>
      <w:tblPr>
        <w:tblStyle w:val="5"/>
        <w:tblW w:w="9285" w:type="dxa"/>
        <w:tblInd w:w="-3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50"/>
        <w:gridCol w:w="735"/>
        <w:gridCol w:w="855"/>
        <w:gridCol w:w="840"/>
        <w:gridCol w:w="720"/>
        <w:gridCol w:w="690"/>
        <w:gridCol w:w="1410"/>
        <w:gridCol w:w="1335"/>
        <w:gridCol w:w="10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任务名称</w:t>
            </w:r>
          </w:p>
        </w:tc>
        <w:tc>
          <w:tcPr>
            <w:tcW w:w="85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施工开始日期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下月计划完成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13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土建工程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安装工程</w:t>
            </w:r>
          </w:p>
        </w:tc>
        <w:tc>
          <w:tcPr>
            <w:tcW w:w="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五、安全文明施工情况</w:t>
      </w:r>
    </w:p>
    <w:tbl>
      <w:tblPr>
        <w:tblStyle w:val="5"/>
        <w:tblW w:w="9300" w:type="dxa"/>
        <w:tblInd w:w="-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90"/>
        <w:gridCol w:w="690"/>
        <w:gridCol w:w="1065"/>
        <w:gridCol w:w="1050"/>
        <w:gridCol w:w="1065"/>
        <w:gridCol w:w="1230"/>
        <w:gridCol w:w="1395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事故（起）</w:t>
            </w:r>
          </w:p>
        </w:tc>
        <w:tc>
          <w:tcPr>
            <w:tcW w:w="10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编制安全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策划文件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（份）</w:t>
            </w:r>
          </w:p>
        </w:tc>
        <w:tc>
          <w:tcPr>
            <w:tcW w:w="10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施工人数</w:t>
            </w:r>
          </w:p>
        </w:tc>
        <w:tc>
          <w:tcPr>
            <w:tcW w:w="5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人身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重伤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电网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</w:t>
            </w:r>
          </w:p>
        </w:tc>
        <w:tc>
          <w:tcPr>
            <w:tcW w:w="10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23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伍人数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系统外队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</w:t>
            </w:r>
          </w:p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队伍人数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125</w:t>
            </w:r>
            <w:bookmarkStart w:id="1" w:name="_GoBack"/>
            <w:bookmarkEnd w:id="1"/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六、施工重点工作情况</w:t>
      </w:r>
    </w:p>
    <w:tbl>
      <w:tblPr>
        <w:tblStyle w:val="5"/>
        <w:tblW w:w="9315" w:type="dxa"/>
        <w:tblInd w:w="-40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60"/>
        <w:gridCol w:w="3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重点是光伏区支架安装及组件安装应满足后期电气安装需要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重点对施工现场安全用电进行管控，后期各种检测、调试的安全用电管控。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对并网前现场调试进行安全管控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重点对电气设备安装、调试进行重点管控，对电缆敷设、接地网焊接进行重点管控。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对整个调试，测试进行全程监督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重点对所有电缆头制作及电缆连接及有关检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对整个并网过程进行监督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造价管理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物资供应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重点关注光伏区所缺支架构配件的采购</w:t>
            </w:r>
          </w:p>
        </w:tc>
        <w:tc>
          <w:tcPr>
            <w:tcW w:w="36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七、本月待协调事项</w:t>
      </w:r>
    </w:p>
    <w:tbl>
      <w:tblPr>
        <w:tblStyle w:val="5"/>
        <w:tblW w:w="9330" w:type="dxa"/>
        <w:tblInd w:w="-4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80"/>
        <w:gridCol w:w="1560"/>
        <w:gridCol w:w="1875"/>
        <w:gridCol w:w="1815"/>
        <w:gridCol w:w="1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</w:p>
    <w:p>
      <w:pPr>
        <w:pStyle w:val="6"/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八、上月待协调事项跟踪落实情况</w:t>
      </w:r>
    </w:p>
    <w:tbl>
      <w:tblPr>
        <w:tblStyle w:val="5"/>
        <w:tblW w:w="9345" w:type="dxa"/>
        <w:tblInd w:w="-4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80"/>
        <w:gridCol w:w="1560"/>
        <w:gridCol w:w="1845"/>
        <w:gridCol w:w="1845"/>
        <w:gridCol w:w="1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跟踪落实情况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beforeLines="0" w:after="56" w:afterLines="0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1109"/>
    <w:rsid w:val="010202D1"/>
    <w:rsid w:val="01C22967"/>
    <w:rsid w:val="13DB18D0"/>
    <w:rsid w:val="1AD53C85"/>
    <w:rsid w:val="2DE7034E"/>
    <w:rsid w:val="31B43777"/>
    <w:rsid w:val="42761109"/>
    <w:rsid w:val="456F08DD"/>
    <w:rsid w:val="52D17B88"/>
    <w:rsid w:val="5788199C"/>
    <w:rsid w:val="58DE4D4A"/>
    <w:rsid w:val="59C81444"/>
    <w:rsid w:val="64A61420"/>
    <w:rsid w:val="665574D0"/>
    <w:rsid w:val="67252D38"/>
    <w:rsid w:val="6C094AA8"/>
    <w:rsid w:val="72614D8D"/>
    <w:rsid w:val="7B1160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200"/>
      <w:outlineLvl w:val="1"/>
    </w:pPr>
    <w:rPr>
      <w:rFonts w:ascii="黑体" w:hAnsi="黑体"/>
      <w:b/>
      <w:sz w:val="2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8">
    <w:name w:val="01"/>
    <w:basedOn w:val="1"/>
    <w:qFormat/>
    <w:uiPriority w:val="0"/>
    <w:pPr>
      <w:tabs>
        <w:tab w:val="left" w:pos="720"/>
      </w:tabs>
      <w:overflowPunct w:val="0"/>
      <w:topLinePunct/>
      <w:ind w:firstLine="422" w:firstLineChars="200"/>
    </w:pPr>
    <w:rPr>
      <w:rFonts w:eastAsia="黑体"/>
      <w:color w:val="000000"/>
      <w:kern w:val="21"/>
      <w:szCs w:val="21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0">
    <w:name w:val="Default"/>
    <w:semiHidden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Theme="minorHAnsi" w:eastAsiaTheme="minorEastAsia" w:cstheme="minorBidi"/>
      <w:color w:val="000000"/>
      <w:sz w:val="24"/>
      <w:szCs w:val="22"/>
      <w:lang w:val="en-US" w:eastAsia="zh-CN" w:bidi="ar-SA"/>
    </w:rPr>
  </w:style>
  <w:style w:type="paragraph" w:customStyle="1" w:styleId="11">
    <w:name w:val="2a"/>
    <w:basedOn w:val="3"/>
    <w:qFormat/>
    <w:uiPriority w:val="0"/>
    <w:pPr>
      <w:topLinePunct/>
      <w:autoSpaceDE/>
      <w:autoSpaceDN/>
      <w:adjustRightInd/>
      <w:snapToGrid/>
      <w:spacing w:line="480" w:lineRule="auto"/>
      <w:ind w:firstLine="0" w:firstLineChars="0"/>
      <w:jc w:val="center"/>
    </w:pPr>
    <w:rPr>
      <w:rFonts w:hAnsi="Arial" w:eastAsia="黑体"/>
      <w:b w:val="0"/>
      <w:bCs/>
      <w:kern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2016-06-01T03:59:00Z</dcterms:created>
  <dc:creator>sam</dc:creator>
  <cp:lastModifiedBy>sam</cp:lastModifiedBy>
  <dcterms:modified xsi:type="dcterms:W3CDTF">2016-07-05T04:04:08Z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