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699" w:leftChars="1490" w:hanging="3570" w:hangingChars="1700"/>
        <w:jc w:val="right"/>
        <w:rPr>
          <w:rFonts w:ascii="宋体" w:hAnsi="宋体"/>
        </w:rPr>
      </w:pPr>
      <w:bookmarkStart w:id="0" w:name="_Toc261985807"/>
      <w:r>
        <w:rPr>
          <w:rFonts w:hint="eastAsia"/>
        </w:rPr>
        <w:t xml:space="preserve">  </w:t>
      </w:r>
      <w:bookmarkEnd w:id="0"/>
      <w:r>
        <w:rPr>
          <w:rFonts w:hint="eastAsia"/>
        </w:rPr>
        <w:t xml:space="preserve">  </w:t>
      </w:r>
      <w:r>
        <w:rPr>
          <w:rFonts w:hint="eastAsia" w:ascii="宋体" w:hAnsi="宋体"/>
        </w:rPr>
        <w:t>编号：</w:t>
      </w:r>
      <w:r>
        <w:rPr>
          <w:rFonts w:hint="eastAsia" w:ascii="宋体" w:hAnsi="宋体"/>
          <w:lang w:val="en-US" w:eastAsia="zh-CN"/>
        </w:rPr>
        <w:t>GFDZJBKYB3</w:t>
      </w:r>
    </w:p>
    <w:p>
      <w:pPr>
        <w:ind w:left="6699" w:leftChars="1490" w:hanging="3570" w:hangingChars="1700"/>
        <w:jc w:val="right"/>
        <w:rPr>
          <w:rFonts w:ascii="宋体" w:hAnsi="宋体"/>
        </w:rPr>
      </w:pPr>
    </w:p>
    <w:p>
      <w:pPr>
        <w:pStyle w:val="8"/>
        <w:rPr>
          <w:color w:val="000000"/>
        </w:rPr>
      </w:pPr>
      <w:bookmarkStart w:id="1" w:name="_Toc263011214"/>
    </w:p>
    <w:p>
      <w:pPr>
        <w:pStyle w:val="8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监  理  月  报</w:t>
      </w:r>
      <w:bookmarkEnd w:id="1"/>
    </w:p>
    <w:p>
      <w:pPr>
        <w:topLinePunct/>
        <w:ind w:firstLine="560" w:firstLineChars="200"/>
        <w:jc w:val="center"/>
        <w:rPr>
          <w:rFonts w:ascii="Times" w:hAnsi="宋体"/>
          <w:color w:val="000000"/>
          <w:kern w:val="18"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Times" w:hAnsi="宋体"/>
          <w:color w:val="000000"/>
          <w:kern w:val="18"/>
          <w:sz w:val="28"/>
          <w:szCs w:val="28"/>
        </w:rPr>
        <w:t>工程名称：</w:t>
      </w:r>
      <w:r>
        <w:rPr>
          <w:rFonts w:hint="eastAsia" w:ascii="宋体" w:hAnsi="宋体" w:cs="宋体"/>
          <w:sz w:val="28"/>
          <w:szCs w:val="28"/>
          <w:u w:val="single"/>
          <w:lang w:eastAsia="zh-CN"/>
        </w:rPr>
        <w:t>宁夏银星能源银星一井矿产压覆区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30MWp光伏电站项目</w:t>
      </w:r>
    </w:p>
    <w:p>
      <w:pPr>
        <w:topLinePunct/>
        <w:ind w:firstLine="560" w:firstLineChars="200"/>
        <w:jc w:val="center"/>
        <w:rPr>
          <w:rFonts w:ascii="Times" w:hAnsi="Times"/>
          <w:color w:val="000000"/>
          <w:kern w:val="18"/>
          <w:sz w:val="28"/>
          <w:szCs w:val="28"/>
          <w:u w:val="single"/>
        </w:rPr>
      </w:pPr>
    </w:p>
    <w:p>
      <w:pPr>
        <w:topLinePunct/>
        <w:ind w:firstLine="560" w:firstLineChars="200"/>
        <w:jc w:val="center"/>
        <w:rPr>
          <w:rFonts w:ascii="Times" w:hAnsi="Times"/>
          <w:color w:val="000000"/>
          <w:kern w:val="18"/>
          <w:sz w:val="28"/>
          <w:szCs w:val="28"/>
        </w:rPr>
      </w:pPr>
      <w:r>
        <w:rPr>
          <w:rFonts w:hint="eastAsia" w:ascii="Times" w:hAnsi="Times"/>
          <w:color w:val="000000"/>
          <w:kern w:val="18"/>
          <w:sz w:val="28"/>
          <w:szCs w:val="28"/>
          <w:u w:val="single"/>
        </w:rPr>
        <w:t>201</w:t>
      </w:r>
      <w:r>
        <w:rPr>
          <w:rFonts w:hint="eastAsia" w:ascii="Times" w:hAnsi="Times"/>
          <w:color w:val="000000"/>
          <w:kern w:val="18"/>
          <w:sz w:val="28"/>
          <w:szCs w:val="28"/>
          <w:u w:val="single"/>
          <w:lang w:val="en-US" w:eastAsia="zh-CN"/>
        </w:rPr>
        <w:t>6</w:t>
      </w:r>
      <w:r>
        <w:rPr>
          <w:rFonts w:hint="eastAsia" w:ascii="Times" w:hAnsi="Times"/>
          <w:color w:val="000000"/>
          <w:kern w:val="18"/>
          <w:sz w:val="28"/>
          <w:szCs w:val="28"/>
          <w:u w:val="single"/>
        </w:rPr>
        <w:t xml:space="preserve"> </w:t>
      </w:r>
      <w:r>
        <w:rPr>
          <w:rFonts w:hint="eastAsia" w:ascii="Times" w:hAnsi="宋体"/>
          <w:color w:val="000000"/>
          <w:kern w:val="18"/>
          <w:sz w:val="28"/>
          <w:szCs w:val="28"/>
        </w:rPr>
        <w:t>年</w:t>
      </w:r>
      <w:r>
        <w:rPr>
          <w:rFonts w:hint="eastAsia" w:ascii="Times" w:hAnsi="Times"/>
          <w:color w:val="000000"/>
          <w:kern w:val="18"/>
          <w:sz w:val="28"/>
          <w:szCs w:val="28"/>
          <w:u w:val="single"/>
        </w:rPr>
        <w:t xml:space="preserve"> </w:t>
      </w:r>
      <w:r>
        <w:rPr>
          <w:rFonts w:hint="eastAsia" w:ascii="Times" w:hAnsi="Times"/>
          <w:color w:val="000000"/>
          <w:kern w:val="18"/>
          <w:sz w:val="28"/>
          <w:szCs w:val="28"/>
          <w:u w:val="single"/>
          <w:lang w:val="en-US" w:eastAsia="zh-CN"/>
        </w:rPr>
        <w:t>6</w:t>
      </w:r>
      <w:r>
        <w:rPr>
          <w:rFonts w:hint="eastAsia" w:ascii="Times" w:hAnsi="宋体"/>
          <w:color w:val="000000"/>
          <w:kern w:val="18"/>
          <w:sz w:val="28"/>
          <w:szCs w:val="28"/>
        </w:rPr>
        <w:t>月</w:t>
      </w:r>
      <w:r>
        <w:rPr>
          <w:rFonts w:hint="eastAsia" w:ascii="Times" w:hAnsi="Times"/>
          <w:color w:val="000000"/>
          <w:kern w:val="18"/>
          <w:sz w:val="28"/>
          <w:szCs w:val="28"/>
        </w:rPr>
        <w:t xml:space="preserve">   </w:t>
      </w:r>
      <w:r>
        <w:rPr>
          <w:rFonts w:hint="eastAsia" w:ascii="Times" w:hAnsi="宋体"/>
          <w:color w:val="000000"/>
          <w:kern w:val="18"/>
          <w:sz w:val="28"/>
          <w:szCs w:val="28"/>
        </w:rPr>
        <w:t>第</w:t>
      </w:r>
      <w:r>
        <w:rPr>
          <w:rFonts w:hint="eastAsia" w:ascii="Times" w:hAnsi="Times"/>
          <w:color w:val="000000"/>
          <w:kern w:val="18"/>
          <w:sz w:val="28"/>
          <w:szCs w:val="28"/>
          <w:u w:val="single"/>
        </w:rPr>
        <w:t xml:space="preserve">  0</w:t>
      </w:r>
      <w:r>
        <w:rPr>
          <w:rFonts w:hint="eastAsia" w:ascii="Times" w:hAnsi="Times"/>
          <w:color w:val="000000"/>
          <w:kern w:val="18"/>
          <w:sz w:val="28"/>
          <w:szCs w:val="28"/>
          <w:u w:val="single"/>
          <w:lang w:val="en-US" w:eastAsia="zh-CN"/>
        </w:rPr>
        <w:t>3</w:t>
      </w:r>
      <w:r>
        <w:rPr>
          <w:rFonts w:hint="eastAsia" w:ascii="Times" w:hAnsi="Times"/>
          <w:color w:val="000000"/>
          <w:kern w:val="18"/>
          <w:sz w:val="28"/>
          <w:szCs w:val="28"/>
          <w:u w:val="single"/>
        </w:rPr>
        <w:t xml:space="preserve"> </w:t>
      </w:r>
      <w:r>
        <w:rPr>
          <w:rFonts w:hint="eastAsia" w:ascii="Times" w:hAnsi="宋体"/>
          <w:color w:val="000000"/>
          <w:kern w:val="18"/>
          <w:sz w:val="28"/>
          <w:szCs w:val="28"/>
        </w:rPr>
        <w:t>期</w:t>
      </w:r>
    </w:p>
    <w:p>
      <w:pPr>
        <w:topLinePunct/>
        <w:ind w:firstLine="560" w:firstLineChars="200"/>
        <w:jc w:val="center"/>
        <w:rPr>
          <w:rFonts w:ascii="Times" w:hAnsi="宋体"/>
          <w:color w:val="000000"/>
          <w:kern w:val="18"/>
          <w:sz w:val="28"/>
          <w:szCs w:val="28"/>
        </w:rPr>
      </w:pPr>
    </w:p>
    <w:p>
      <w:pPr>
        <w:topLinePunct/>
        <w:ind w:firstLine="560" w:firstLineChars="200"/>
        <w:jc w:val="center"/>
        <w:rPr>
          <w:rFonts w:ascii="Times" w:hAnsi="宋体"/>
          <w:color w:val="000000"/>
          <w:kern w:val="18"/>
          <w:sz w:val="28"/>
          <w:szCs w:val="28"/>
        </w:rPr>
      </w:pPr>
    </w:p>
    <w:p>
      <w:pPr>
        <w:topLinePunct/>
        <w:ind w:firstLine="560" w:firstLineChars="200"/>
        <w:jc w:val="center"/>
        <w:rPr>
          <w:rFonts w:ascii="Times" w:hAnsi="宋体"/>
          <w:color w:val="000000"/>
          <w:kern w:val="18"/>
          <w:sz w:val="28"/>
          <w:szCs w:val="28"/>
        </w:rPr>
      </w:pPr>
    </w:p>
    <w:p>
      <w:pPr>
        <w:topLinePunct/>
        <w:ind w:firstLine="560" w:firstLineChars="200"/>
        <w:jc w:val="center"/>
        <w:rPr>
          <w:rFonts w:ascii="Times" w:hAnsi="宋体"/>
          <w:color w:val="000000"/>
          <w:kern w:val="18"/>
          <w:sz w:val="28"/>
          <w:szCs w:val="28"/>
        </w:rPr>
      </w:pPr>
    </w:p>
    <w:p>
      <w:pPr>
        <w:topLinePunct/>
        <w:ind w:firstLine="3080" w:firstLineChars="1100"/>
        <w:rPr>
          <w:rFonts w:ascii="Times" w:hAnsi="Times"/>
          <w:color w:val="000000"/>
          <w:kern w:val="18"/>
          <w:sz w:val="28"/>
          <w:szCs w:val="28"/>
          <w:u w:val="single"/>
        </w:rPr>
      </w:pPr>
      <w:r>
        <w:rPr>
          <w:rFonts w:hint="eastAsia" w:ascii="Times" w:hAnsi="宋体"/>
          <w:color w:val="000000"/>
          <w:kern w:val="18"/>
          <w:sz w:val="28"/>
          <w:szCs w:val="28"/>
        </w:rPr>
        <w:t>监理项目部（章）：</w:t>
      </w:r>
      <w:r>
        <w:rPr>
          <w:rFonts w:hint="eastAsia" w:ascii="Times" w:hAnsi="Times"/>
          <w:color w:val="000000"/>
          <w:kern w:val="18"/>
          <w:sz w:val="28"/>
          <w:szCs w:val="28"/>
          <w:u w:val="single"/>
        </w:rPr>
        <w:t xml:space="preserve">     </w:t>
      </w:r>
      <w:r>
        <w:rPr>
          <w:rFonts w:hint="eastAsia" w:ascii="Times" w:hAnsi="Times"/>
          <w:color w:val="000000"/>
          <w:kern w:val="18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Times" w:hAnsi="Times"/>
          <w:color w:val="000000"/>
          <w:kern w:val="18"/>
          <w:sz w:val="28"/>
          <w:szCs w:val="28"/>
          <w:u w:val="single"/>
        </w:rPr>
        <w:t xml:space="preserve">  </w:t>
      </w:r>
    </w:p>
    <w:p>
      <w:pPr>
        <w:topLinePunct/>
        <w:ind w:firstLine="3092" w:firstLineChars="1100"/>
        <w:rPr>
          <w:rFonts w:ascii="Times" w:hAnsi="Times"/>
          <w:b/>
          <w:color w:val="000000"/>
          <w:kern w:val="18"/>
          <w:sz w:val="28"/>
          <w:szCs w:val="28"/>
          <w:u w:val="single"/>
        </w:rPr>
      </w:pPr>
    </w:p>
    <w:p>
      <w:pPr>
        <w:topLinePunct/>
        <w:ind w:firstLine="3080" w:firstLineChars="1100"/>
        <w:rPr>
          <w:rFonts w:ascii="Times" w:hAnsi="Times"/>
          <w:color w:val="000000"/>
          <w:kern w:val="18"/>
          <w:sz w:val="28"/>
          <w:szCs w:val="28"/>
          <w:u w:val="single"/>
        </w:rPr>
      </w:pPr>
      <w:r>
        <w:rPr>
          <w:rFonts w:hint="eastAsia" w:ascii="Times" w:hAnsi="宋体"/>
          <w:color w:val="000000"/>
          <w:kern w:val="18"/>
          <w:sz w:val="28"/>
          <w:szCs w:val="28"/>
        </w:rPr>
        <w:t>总监理工程师：</w:t>
      </w:r>
      <w:r>
        <w:rPr>
          <w:rFonts w:hint="eastAsia" w:ascii="Times" w:hAnsi="Times"/>
          <w:color w:val="000000"/>
          <w:kern w:val="18"/>
          <w:sz w:val="28"/>
          <w:szCs w:val="28"/>
          <w:u w:val="single"/>
        </w:rPr>
        <w:t xml:space="preserve">      </w:t>
      </w:r>
      <w:r>
        <w:rPr>
          <w:rFonts w:hint="eastAsia" w:ascii="Times" w:hAnsi="Times"/>
          <w:color w:val="000000"/>
          <w:kern w:val="18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Times" w:hAnsi="Times"/>
          <w:color w:val="000000"/>
          <w:kern w:val="18"/>
          <w:sz w:val="28"/>
          <w:szCs w:val="28"/>
          <w:u w:val="single"/>
        </w:rPr>
        <w:t xml:space="preserve">    </w:t>
      </w:r>
    </w:p>
    <w:p>
      <w:pPr>
        <w:topLinePunct/>
        <w:ind w:firstLine="560" w:firstLineChars="200"/>
        <w:jc w:val="center"/>
        <w:rPr>
          <w:rFonts w:ascii="Times" w:hAnsi="宋体"/>
          <w:color w:val="000000"/>
          <w:kern w:val="21"/>
          <w:sz w:val="28"/>
          <w:szCs w:val="28"/>
        </w:rPr>
      </w:pPr>
    </w:p>
    <w:p>
      <w:pPr>
        <w:topLinePunct/>
        <w:ind w:firstLine="560" w:firstLineChars="200"/>
        <w:jc w:val="center"/>
        <w:rPr>
          <w:rFonts w:ascii="Times" w:hAnsi="宋体"/>
          <w:color w:val="000000"/>
          <w:kern w:val="21"/>
          <w:sz w:val="28"/>
          <w:szCs w:val="28"/>
        </w:rPr>
      </w:pPr>
    </w:p>
    <w:p>
      <w:pPr>
        <w:topLinePunct/>
        <w:ind w:firstLine="560" w:firstLineChars="200"/>
        <w:jc w:val="center"/>
        <w:rPr>
          <w:rFonts w:ascii="Times" w:hAnsi="宋体"/>
          <w:color w:val="000000"/>
          <w:kern w:val="21"/>
          <w:sz w:val="28"/>
          <w:szCs w:val="28"/>
        </w:rPr>
      </w:pPr>
    </w:p>
    <w:p>
      <w:pPr>
        <w:topLinePunct/>
        <w:ind w:firstLine="560" w:firstLineChars="200"/>
        <w:jc w:val="center"/>
        <w:rPr>
          <w:rFonts w:ascii="Times" w:hAnsi="宋体"/>
          <w:color w:val="000000"/>
          <w:kern w:val="21"/>
          <w:sz w:val="28"/>
          <w:szCs w:val="28"/>
        </w:rPr>
      </w:pPr>
    </w:p>
    <w:p>
      <w:pPr>
        <w:topLinePunct/>
        <w:ind w:firstLine="560" w:firstLineChars="200"/>
        <w:jc w:val="center"/>
        <w:rPr>
          <w:rFonts w:ascii="Times" w:hAnsi="宋体"/>
          <w:color w:val="000000"/>
          <w:kern w:val="21"/>
          <w:sz w:val="28"/>
          <w:szCs w:val="28"/>
        </w:rPr>
      </w:pPr>
    </w:p>
    <w:p>
      <w:pPr>
        <w:topLinePunct/>
        <w:ind w:firstLine="560" w:firstLineChars="200"/>
        <w:jc w:val="center"/>
        <w:rPr>
          <w:rFonts w:ascii="Times" w:hAnsi="宋体"/>
          <w:color w:val="000000"/>
          <w:kern w:val="21"/>
          <w:sz w:val="28"/>
          <w:szCs w:val="28"/>
        </w:rPr>
      </w:pPr>
    </w:p>
    <w:p>
      <w:pPr>
        <w:topLinePunct/>
        <w:ind w:firstLine="560" w:firstLineChars="200"/>
        <w:jc w:val="center"/>
        <w:rPr>
          <w:rFonts w:ascii="Times" w:hAnsi="宋体"/>
          <w:color w:val="000000"/>
          <w:kern w:val="21"/>
          <w:sz w:val="28"/>
          <w:szCs w:val="28"/>
        </w:rPr>
      </w:pPr>
    </w:p>
    <w:p>
      <w:pPr>
        <w:jc w:val="center"/>
        <w:rPr>
          <w:rFonts w:ascii="宋体" w:hAnsi="宋体"/>
          <w:szCs w:val="21"/>
        </w:rPr>
      </w:pPr>
      <w:r>
        <w:rPr>
          <w:rFonts w:hint="eastAsia" w:ascii="Times" w:hAnsi="宋体"/>
          <w:color w:val="000000"/>
          <w:kern w:val="21"/>
          <w:sz w:val="28"/>
          <w:szCs w:val="28"/>
        </w:rPr>
        <w:t>报告日期：</w:t>
      </w:r>
      <w:r>
        <w:rPr>
          <w:rFonts w:hint="eastAsia" w:ascii="Times" w:hAnsi="Times"/>
          <w:color w:val="000000"/>
          <w:kern w:val="21"/>
          <w:sz w:val="28"/>
          <w:szCs w:val="28"/>
          <w:u w:val="single"/>
        </w:rPr>
        <w:t>201</w:t>
      </w:r>
      <w:r>
        <w:rPr>
          <w:rFonts w:hint="eastAsia" w:ascii="Times" w:hAnsi="Times"/>
          <w:color w:val="000000"/>
          <w:kern w:val="21"/>
          <w:sz w:val="28"/>
          <w:szCs w:val="28"/>
          <w:u w:val="single"/>
          <w:lang w:val="en-US" w:eastAsia="zh-CN"/>
        </w:rPr>
        <w:t>6</w:t>
      </w:r>
      <w:r>
        <w:rPr>
          <w:rFonts w:hint="eastAsia" w:ascii="Times" w:hAnsi="宋体"/>
          <w:color w:val="000000"/>
          <w:kern w:val="21"/>
          <w:sz w:val="28"/>
          <w:szCs w:val="28"/>
        </w:rPr>
        <w:t>年</w:t>
      </w:r>
      <w:r>
        <w:rPr>
          <w:rFonts w:hint="eastAsia" w:ascii="Times" w:hAnsi="宋体"/>
          <w:color w:val="000000"/>
          <w:kern w:val="21"/>
          <w:sz w:val="28"/>
          <w:szCs w:val="28"/>
          <w:u w:val="single"/>
          <w:lang w:val="en-US" w:eastAsia="zh-CN"/>
        </w:rPr>
        <w:t>6</w:t>
      </w:r>
      <w:r>
        <w:rPr>
          <w:rFonts w:hint="eastAsia" w:ascii="Times" w:hAnsi="宋体"/>
          <w:color w:val="000000"/>
          <w:kern w:val="21"/>
          <w:sz w:val="28"/>
          <w:szCs w:val="28"/>
        </w:rPr>
        <w:t>月</w:t>
      </w:r>
      <w:r>
        <w:rPr>
          <w:rFonts w:hint="eastAsia" w:ascii="Times" w:hAnsi="Times"/>
          <w:color w:val="000000"/>
          <w:kern w:val="21"/>
          <w:sz w:val="28"/>
          <w:szCs w:val="28"/>
          <w:u w:val="single"/>
        </w:rPr>
        <w:t xml:space="preserve"> </w:t>
      </w:r>
      <w:r>
        <w:rPr>
          <w:rFonts w:hint="eastAsia" w:ascii="Times" w:hAnsi="Times"/>
          <w:color w:val="000000"/>
          <w:kern w:val="21"/>
          <w:sz w:val="28"/>
          <w:szCs w:val="28"/>
          <w:u w:val="single"/>
          <w:lang w:val="en-US" w:eastAsia="zh-CN"/>
        </w:rPr>
        <w:t xml:space="preserve">28 </w:t>
      </w:r>
      <w:r>
        <w:rPr>
          <w:rFonts w:hint="eastAsia" w:ascii="Times" w:hAnsi="宋体"/>
          <w:color w:val="000000"/>
          <w:kern w:val="21"/>
          <w:sz w:val="28"/>
          <w:szCs w:val="28"/>
        </w:rPr>
        <w:t>日</w:t>
      </w:r>
    </w:p>
    <w:p>
      <w:pPr>
        <w:pStyle w:val="9"/>
        <w:spacing w:line="360" w:lineRule="auto"/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监  理  月  报</w:t>
      </w:r>
    </w:p>
    <w:p>
      <w:pPr>
        <w:topLinePunct/>
        <w:spacing w:line="360" w:lineRule="auto"/>
        <w:ind w:firstLine="450" w:firstLineChars="250"/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月次：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  <w:lang w:val="en-US" w:eastAsia="zh-CN"/>
        </w:rPr>
        <w:t>6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 月报开始时间：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>月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  <w:lang w:val="en-US" w:eastAsia="zh-CN"/>
        </w:rPr>
        <w:t>28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日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 结束时间：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  <w:lang w:val="en-US" w:eastAsia="zh-CN"/>
        </w:rPr>
        <w:t>6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>月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  <w:lang w:val="en-US" w:eastAsia="zh-CN"/>
        </w:rPr>
        <w:t>28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日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 </w:t>
      </w:r>
    </w:p>
    <w:p>
      <w:pPr>
        <w:pStyle w:val="7"/>
        <w:spacing w:line="360" w:lineRule="auto"/>
        <w:ind w:firstLine="36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一、工程影像资料</w:t>
      </w:r>
    </w:p>
    <w:tbl>
      <w:tblPr>
        <w:tblStyle w:val="5"/>
        <w:tblW w:w="10491" w:type="dxa"/>
        <w:tblInd w:w="-98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985"/>
        <w:gridCol w:w="2802"/>
        <w:gridCol w:w="1568"/>
        <w:gridCol w:w="1695"/>
        <w:gridCol w:w="144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序号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单位工程标准名称</w:t>
            </w:r>
          </w:p>
        </w:tc>
        <w:tc>
          <w:tcPr>
            <w:tcW w:w="2802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单位工程名称</w:t>
            </w:r>
          </w:p>
        </w:tc>
        <w:tc>
          <w:tcPr>
            <w:tcW w:w="1568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资料类型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资料数量</w:t>
            </w:r>
          </w:p>
        </w:tc>
        <w:tc>
          <w:tcPr>
            <w:tcW w:w="1448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 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02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配电楼</w:t>
            </w:r>
          </w:p>
        </w:tc>
        <w:tc>
          <w:tcPr>
            <w:tcW w:w="1568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照片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448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02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综合楼及箱、逆变基础</w:t>
            </w:r>
          </w:p>
        </w:tc>
        <w:tc>
          <w:tcPr>
            <w:tcW w:w="1568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照片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18</w:t>
            </w:r>
          </w:p>
        </w:tc>
        <w:tc>
          <w:tcPr>
            <w:tcW w:w="1448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02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桩基打孔、浇筑</w:t>
            </w:r>
          </w:p>
        </w:tc>
        <w:tc>
          <w:tcPr>
            <w:tcW w:w="1568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照片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</w:t>
            </w:r>
          </w:p>
        </w:tc>
        <w:tc>
          <w:tcPr>
            <w:tcW w:w="1448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02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组件、支架安装</w:t>
            </w:r>
          </w:p>
        </w:tc>
        <w:tc>
          <w:tcPr>
            <w:tcW w:w="1568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照片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448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02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升压站室外基础</w:t>
            </w:r>
          </w:p>
        </w:tc>
        <w:tc>
          <w:tcPr>
            <w:tcW w:w="1568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照片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</w:t>
            </w:r>
          </w:p>
        </w:tc>
        <w:tc>
          <w:tcPr>
            <w:tcW w:w="1448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02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KV送出线路</w:t>
            </w:r>
          </w:p>
        </w:tc>
        <w:tc>
          <w:tcPr>
            <w:tcW w:w="1568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照片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1448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pStyle w:val="9"/>
        <w:spacing w:line="360" w:lineRule="auto"/>
        <w:ind w:firstLine="360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二、监理重点工作情况</w:t>
      </w:r>
    </w:p>
    <w:tbl>
      <w:tblPr>
        <w:tblStyle w:val="5"/>
        <w:tblW w:w="10491" w:type="dxa"/>
        <w:tblInd w:w="-98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268"/>
        <w:gridCol w:w="4253"/>
        <w:gridCol w:w="297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93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专业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事项</w:t>
            </w:r>
          </w:p>
        </w:tc>
        <w:tc>
          <w:tcPr>
            <w:tcW w:w="4253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本月重点工作情况</w:t>
            </w:r>
          </w:p>
        </w:tc>
        <w:tc>
          <w:tcPr>
            <w:tcW w:w="2977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下月重点工作计划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进度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工程形象进度</w:t>
            </w:r>
          </w:p>
        </w:tc>
        <w:tc>
          <w:tcPr>
            <w:tcW w:w="4253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6月17、18日并网。</w:t>
            </w:r>
          </w:p>
        </w:tc>
        <w:tc>
          <w:tcPr>
            <w:tcW w:w="2977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设备交付进度</w:t>
            </w:r>
          </w:p>
        </w:tc>
        <w:tc>
          <w:tcPr>
            <w:tcW w:w="4253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所有设备全部进场</w:t>
            </w:r>
          </w:p>
        </w:tc>
        <w:tc>
          <w:tcPr>
            <w:tcW w:w="2977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设计交付进度</w:t>
            </w:r>
          </w:p>
        </w:tc>
        <w:tc>
          <w:tcPr>
            <w:tcW w:w="4253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蓝图交付</w:t>
            </w:r>
          </w:p>
        </w:tc>
        <w:tc>
          <w:tcPr>
            <w:tcW w:w="2977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质量体系运行情况</w:t>
            </w:r>
          </w:p>
        </w:tc>
        <w:tc>
          <w:tcPr>
            <w:tcW w:w="4253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工程质量整体控制良好。</w:t>
            </w:r>
          </w:p>
        </w:tc>
        <w:tc>
          <w:tcPr>
            <w:tcW w:w="2977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施工图会检</w:t>
            </w:r>
          </w:p>
        </w:tc>
        <w:tc>
          <w:tcPr>
            <w:tcW w:w="4253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全部图纸进行会捡</w:t>
            </w:r>
          </w:p>
        </w:tc>
        <w:tc>
          <w:tcPr>
            <w:tcW w:w="2977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设计交底</w:t>
            </w:r>
          </w:p>
        </w:tc>
        <w:tc>
          <w:tcPr>
            <w:tcW w:w="4253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977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方案审查</w:t>
            </w:r>
          </w:p>
        </w:tc>
        <w:tc>
          <w:tcPr>
            <w:tcW w:w="4253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所有施工方案的审查</w:t>
            </w:r>
          </w:p>
        </w:tc>
        <w:tc>
          <w:tcPr>
            <w:tcW w:w="2977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技术交底</w:t>
            </w:r>
          </w:p>
        </w:tc>
        <w:tc>
          <w:tcPr>
            <w:tcW w:w="4253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所有施工的技术交底</w:t>
            </w:r>
          </w:p>
        </w:tc>
        <w:tc>
          <w:tcPr>
            <w:tcW w:w="2977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设计变更</w:t>
            </w:r>
          </w:p>
        </w:tc>
        <w:tc>
          <w:tcPr>
            <w:tcW w:w="4253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2977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安全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安全培训情况</w:t>
            </w:r>
          </w:p>
        </w:tc>
        <w:tc>
          <w:tcPr>
            <w:tcW w:w="4253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对大部分进场人员进行了安全培训。</w:t>
            </w:r>
          </w:p>
        </w:tc>
        <w:tc>
          <w:tcPr>
            <w:tcW w:w="2977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安全交底情况</w:t>
            </w:r>
          </w:p>
        </w:tc>
        <w:tc>
          <w:tcPr>
            <w:tcW w:w="4253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对所有施工单位进行安全技术交底。</w:t>
            </w:r>
          </w:p>
        </w:tc>
        <w:tc>
          <w:tcPr>
            <w:tcW w:w="2977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安全措施落实情况</w:t>
            </w:r>
          </w:p>
        </w:tc>
        <w:tc>
          <w:tcPr>
            <w:tcW w:w="4253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加强施工现场安全用电管理，加强施工现场防风措施的落实，加强施工现场施工车辆的安全管理。</w:t>
            </w:r>
          </w:p>
        </w:tc>
        <w:tc>
          <w:tcPr>
            <w:tcW w:w="2977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安全文明施工情况</w:t>
            </w:r>
          </w:p>
        </w:tc>
        <w:tc>
          <w:tcPr>
            <w:tcW w:w="4253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进行文明施工检查，问题开始整改。</w:t>
            </w:r>
          </w:p>
        </w:tc>
        <w:tc>
          <w:tcPr>
            <w:tcW w:w="2977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质量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主要工序质量</w:t>
            </w:r>
          </w:p>
        </w:tc>
        <w:tc>
          <w:tcPr>
            <w:tcW w:w="4253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组件安装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的质量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一般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。</w:t>
            </w:r>
          </w:p>
        </w:tc>
        <w:tc>
          <w:tcPr>
            <w:tcW w:w="2977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主要原材料质量</w:t>
            </w:r>
          </w:p>
        </w:tc>
        <w:tc>
          <w:tcPr>
            <w:tcW w:w="4253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质量稳定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977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构（配）件质量</w:t>
            </w:r>
          </w:p>
        </w:tc>
        <w:tc>
          <w:tcPr>
            <w:tcW w:w="4253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构（配）件质量稳定。</w:t>
            </w:r>
          </w:p>
        </w:tc>
        <w:tc>
          <w:tcPr>
            <w:tcW w:w="2977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设备质量</w:t>
            </w:r>
          </w:p>
        </w:tc>
        <w:tc>
          <w:tcPr>
            <w:tcW w:w="4253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对进场设备进行开箱检验。</w:t>
            </w:r>
          </w:p>
        </w:tc>
        <w:tc>
          <w:tcPr>
            <w:tcW w:w="2977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质量验评情况</w:t>
            </w:r>
          </w:p>
        </w:tc>
        <w:tc>
          <w:tcPr>
            <w:tcW w:w="4253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光伏区施工质量稳定，升压站施工质量一般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977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投资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资金情况</w:t>
            </w:r>
          </w:p>
        </w:tc>
        <w:tc>
          <w:tcPr>
            <w:tcW w:w="4253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977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款项支付情况</w:t>
            </w:r>
          </w:p>
        </w:tc>
        <w:tc>
          <w:tcPr>
            <w:tcW w:w="4253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977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预算外签证</w:t>
            </w:r>
          </w:p>
        </w:tc>
        <w:tc>
          <w:tcPr>
            <w:tcW w:w="4253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977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合同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合同签订情况</w:t>
            </w:r>
          </w:p>
        </w:tc>
        <w:tc>
          <w:tcPr>
            <w:tcW w:w="4253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所有合同全部签订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977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合同执行情况</w:t>
            </w:r>
          </w:p>
        </w:tc>
        <w:tc>
          <w:tcPr>
            <w:tcW w:w="4253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977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pStyle w:val="9"/>
        <w:spacing w:line="360" w:lineRule="auto"/>
        <w:ind w:firstLine="360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三、本月进度情况</w:t>
      </w:r>
    </w:p>
    <w:tbl>
      <w:tblPr>
        <w:tblStyle w:val="5"/>
        <w:tblW w:w="10472" w:type="dxa"/>
        <w:tblInd w:w="-98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02"/>
        <w:gridCol w:w="709"/>
        <w:gridCol w:w="850"/>
        <w:gridCol w:w="851"/>
        <w:gridCol w:w="850"/>
        <w:gridCol w:w="851"/>
        <w:gridCol w:w="1222"/>
        <w:gridCol w:w="1294"/>
        <w:gridCol w:w="717"/>
        <w:gridCol w:w="71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序号</w:t>
            </w:r>
          </w:p>
        </w:tc>
        <w:tc>
          <w:tcPr>
            <w:tcW w:w="1702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单位工程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任务</w:t>
            </w:r>
          </w:p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名称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计划</w:t>
            </w:r>
          </w:p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开始</w:t>
            </w:r>
          </w:p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日期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计划</w:t>
            </w:r>
          </w:p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结束</w:t>
            </w:r>
          </w:p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日期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施工</w:t>
            </w:r>
          </w:p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开始</w:t>
            </w:r>
          </w:p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日期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施工</w:t>
            </w:r>
          </w:p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结束</w:t>
            </w:r>
          </w:p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日期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本月计划完成</w:t>
            </w:r>
          </w:p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（完成量/总量）</w:t>
            </w:r>
          </w:p>
        </w:tc>
        <w:tc>
          <w:tcPr>
            <w:tcW w:w="1294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本月实际完成</w:t>
            </w:r>
          </w:p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（完成量/总量）</w:t>
            </w:r>
          </w:p>
        </w:tc>
        <w:tc>
          <w:tcPr>
            <w:tcW w:w="717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权值</w:t>
            </w:r>
          </w:p>
        </w:tc>
        <w:tc>
          <w:tcPr>
            <w:tcW w:w="717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702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变电区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土建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%</w:t>
            </w:r>
          </w:p>
        </w:tc>
        <w:tc>
          <w:tcPr>
            <w:tcW w:w="1294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%</w:t>
            </w:r>
          </w:p>
        </w:tc>
        <w:tc>
          <w:tcPr>
            <w:tcW w:w="717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1702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变电区室外附属设施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土建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5日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%</w:t>
            </w:r>
          </w:p>
        </w:tc>
        <w:tc>
          <w:tcPr>
            <w:tcW w:w="1294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%</w:t>
            </w:r>
          </w:p>
        </w:tc>
        <w:tc>
          <w:tcPr>
            <w:tcW w:w="717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1702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桩基打孔、浇筑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土建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100%</w:t>
            </w:r>
          </w:p>
        </w:tc>
        <w:tc>
          <w:tcPr>
            <w:tcW w:w="1294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100%</w:t>
            </w:r>
          </w:p>
        </w:tc>
        <w:tc>
          <w:tcPr>
            <w:tcW w:w="717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1702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支架安装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土建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5日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5月13日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%</w:t>
            </w:r>
          </w:p>
        </w:tc>
        <w:tc>
          <w:tcPr>
            <w:tcW w:w="1294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100%</w:t>
            </w:r>
          </w:p>
        </w:tc>
        <w:tc>
          <w:tcPr>
            <w:tcW w:w="717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1702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组件安装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电气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%</w:t>
            </w:r>
          </w:p>
        </w:tc>
        <w:tc>
          <w:tcPr>
            <w:tcW w:w="1294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100%</w:t>
            </w:r>
          </w:p>
        </w:tc>
        <w:tc>
          <w:tcPr>
            <w:tcW w:w="717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</w:t>
            </w:r>
          </w:p>
        </w:tc>
        <w:tc>
          <w:tcPr>
            <w:tcW w:w="1702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电缆敷设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电气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%</w:t>
            </w:r>
          </w:p>
        </w:tc>
        <w:tc>
          <w:tcPr>
            <w:tcW w:w="1294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100%</w:t>
            </w:r>
          </w:p>
        </w:tc>
        <w:tc>
          <w:tcPr>
            <w:tcW w:w="717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</w:t>
            </w:r>
          </w:p>
        </w:tc>
        <w:tc>
          <w:tcPr>
            <w:tcW w:w="1702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箱变基础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土建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100%</w:t>
            </w:r>
          </w:p>
        </w:tc>
        <w:tc>
          <w:tcPr>
            <w:tcW w:w="1294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100%</w:t>
            </w:r>
          </w:p>
        </w:tc>
        <w:tc>
          <w:tcPr>
            <w:tcW w:w="717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</w:t>
            </w:r>
          </w:p>
        </w:tc>
        <w:tc>
          <w:tcPr>
            <w:tcW w:w="1702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接地工程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土建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%</w:t>
            </w:r>
          </w:p>
        </w:tc>
        <w:tc>
          <w:tcPr>
            <w:tcW w:w="1294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100%</w:t>
            </w:r>
          </w:p>
        </w:tc>
        <w:tc>
          <w:tcPr>
            <w:tcW w:w="717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</w:t>
            </w:r>
          </w:p>
        </w:tc>
        <w:tc>
          <w:tcPr>
            <w:tcW w:w="1702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汇流箱安装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电气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100%</w:t>
            </w:r>
          </w:p>
        </w:tc>
        <w:tc>
          <w:tcPr>
            <w:tcW w:w="1294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100%</w:t>
            </w:r>
          </w:p>
        </w:tc>
        <w:tc>
          <w:tcPr>
            <w:tcW w:w="717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</w:t>
            </w:r>
          </w:p>
        </w:tc>
        <w:tc>
          <w:tcPr>
            <w:tcW w:w="1702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逆变器安装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电气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100%</w:t>
            </w:r>
          </w:p>
        </w:tc>
        <w:tc>
          <w:tcPr>
            <w:tcW w:w="1294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100%</w:t>
            </w:r>
          </w:p>
        </w:tc>
        <w:tc>
          <w:tcPr>
            <w:tcW w:w="717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702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SVG安装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电气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100%</w:t>
            </w:r>
          </w:p>
        </w:tc>
        <w:tc>
          <w:tcPr>
            <w:tcW w:w="1294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100%</w:t>
            </w:r>
          </w:p>
        </w:tc>
        <w:tc>
          <w:tcPr>
            <w:tcW w:w="717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702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接地变安装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电气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100%</w:t>
            </w:r>
          </w:p>
        </w:tc>
        <w:tc>
          <w:tcPr>
            <w:tcW w:w="1294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100%</w:t>
            </w:r>
          </w:p>
        </w:tc>
        <w:tc>
          <w:tcPr>
            <w:tcW w:w="717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702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一次设备安装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电气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100%</w:t>
            </w:r>
          </w:p>
        </w:tc>
        <w:tc>
          <w:tcPr>
            <w:tcW w:w="1294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100%</w:t>
            </w:r>
          </w:p>
        </w:tc>
        <w:tc>
          <w:tcPr>
            <w:tcW w:w="717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702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35kV送出线路基础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土建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100%</w:t>
            </w:r>
          </w:p>
        </w:tc>
        <w:tc>
          <w:tcPr>
            <w:tcW w:w="1294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100%</w:t>
            </w:r>
          </w:p>
        </w:tc>
        <w:tc>
          <w:tcPr>
            <w:tcW w:w="717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60" w:lineRule="auto"/>
        <w:ind w:leftChars="0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四、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安全文明施工情况</w:t>
      </w:r>
    </w:p>
    <w:tbl>
      <w:tblPr>
        <w:tblStyle w:val="5"/>
        <w:tblW w:w="10472" w:type="dxa"/>
        <w:tblInd w:w="-98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993"/>
        <w:gridCol w:w="869"/>
        <w:gridCol w:w="1051"/>
        <w:gridCol w:w="1142"/>
        <w:gridCol w:w="1182"/>
        <w:gridCol w:w="1122"/>
        <w:gridCol w:w="1304"/>
        <w:gridCol w:w="124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事故（起）</w:t>
            </w:r>
          </w:p>
        </w:tc>
        <w:tc>
          <w:tcPr>
            <w:tcW w:w="1051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编制安全</w:t>
            </w:r>
          </w:p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策划文件</w:t>
            </w:r>
          </w:p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（份）</w:t>
            </w:r>
          </w:p>
        </w:tc>
        <w:tc>
          <w:tcPr>
            <w:tcW w:w="1142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施工人数</w:t>
            </w:r>
          </w:p>
        </w:tc>
        <w:tc>
          <w:tcPr>
            <w:tcW w:w="485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安全分包情况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人身</w:t>
            </w:r>
          </w:p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重伤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机械</w:t>
            </w:r>
          </w:p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设备</w:t>
            </w:r>
          </w:p>
        </w:tc>
        <w:tc>
          <w:tcPr>
            <w:tcW w:w="869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电网</w:t>
            </w:r>
          </w:p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事故</w:t>
            </w:r>
          </w:p>
        </w:tc>
        <w:tc>
          <w:tcPr>
            <w:tcW w:w="10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42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82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分包队</w:t>
            </w:r>
          </w:p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伍数量</w:t>
            </w:r>
          </w:p>
        </w:tc>
        <w:tc>
          <w:tcPr>
            <w:tcW w:w="1122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分包队</w:t>
            </w:r>
          </w:p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伍人数</w:t>
            </w: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系统外队</w:t>
            </w:r>
          </w:p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伍数量</w:t>
            </w:r>
          </w:p>
        </w:tc>
        <w:tc>
          <w:tcPr>
            <w:tcW w:w="1249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系统外</w:t>
            </w:r>
          </w:p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队伍人数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无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无</w:t>
            </w:r>
          </w:p>
        </w:tc>
        <w:tc>
          <w:tcPr>
            <w:tcW w:w="869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无</w:t>
            </w:r>
          </w:p>
        </w:tc>
        <w:tc>
          <w:tcPr>
            <w:tcW w:w="1051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142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260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人左右</w:t>
            </w:r>
          </w:p>
        </w:tc>
        <w:tc>
          <w:tcPr>
            <w:tcW w:w="1182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22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人左右</w:t>
            </w:r>
          </w:p>
        </w:tc>
        <w:tc>
          <w:tcPr>
            <w:tcW w:w="1304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无</w:t>
            </w:r>
          </w:p>
        </w:tc>
        <w:tc>
          <w:tcPr>
            <w:tcW w:w="1249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无</w:t>
            </w:r>
          </w:p>
        </w:tc>
      </w:tr>
    </w:tbl>
    <w:p>
      <w:pPr>
        <w:pStyle w:val="9"/>
        <w:spacing w:line="36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五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、施工重点工作情况</w:t>
      </w:r>
    </w:p>
    <w:tbl>
      <w:tblPr>
        <w:tblStyle w:val="5"/>
        <w:tblW w:w="10472" w:type="dxa"/>
        <w:tblInd w:w="-98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4820"/>
        <w:gridCol w:w="395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专业</w:t>
            </w:r>
          </w:p>
        </w:tc>
        <w:tc>
          <w:tcPr>
            <w:tcW w:w="4820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本月重点工作情况</w:t>
            </w:r>
          </w:p>
        </w:tc>
        <w:tc>
          <w:tcPr>
            <w:tcW w:w="3950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下月重点工作计划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进度管理</w:t>
            </w:r>
          </w:p>
        </w:tc>
        <w:tc>
          <w:tcPr>
            <w:tcW w:w="4820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所有工程赶工，于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6月17、18日并网</w:t>
            </w:r>
          </w:p>
        </w:tc>
        <w:tc>
          <w:tcPr>
            <w:tcW w:w="3950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安全管理</w:t>
            </w:r>
          </w:p>
        </w:tc>
        <w:tc>
          <w:tcPr>
            <w:tcW w:w="4820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安全文明施工监督和检查。</w:t>
            </w:r>
          </w:p>
        </w:tc>
        <w:tc>
          <w:tcPr>
            <w:tcW w:w="3950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质量管理</w:t>
            </w:r>
          </w:p>
        </w:tc>
        <w:tc>
          <w:tcPr>
            <w:tcW w:w="4820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加强现场巡、视检查频次，发现问题及时沟通解决。加强旁站项目的质量控制。</w:t>
            </w:r>
          </w:p>
        </w:tc>
        <w:tc>
          <w:tcPr>
            <w:tcW w:w="3950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技术管理</w:t>
            </w:r>
          </w:p>
        </w:tc>
        <w:tc>
          <w:tcPr>
            <w:tcW w:w="4820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950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造价管理</w:t>
            </w:r>
          </w:p>
        </w:tc>
        <w:tc>
          <w:tcPr>
            <w:tcW w:w="4820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在预期范围内。</w:t>
            </w:r>
          </w:p>
        </w:tc>
        <w:tc>
          <w:tcPr>
            <w:tcW w:w="3950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物资供应</w:t>
            </w:r>
          </w:p>
        </w:tc>
        <w:tc>
          <w:tcPr>
            <w:tcW w:w="4820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按计划正常供应。</w:t>
            </w:r>
          </w:p>
        </w:tc>
        <w:tc>
          <w:tcPr>
            <w:tcW w:w="3950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pStyle w:val="9"/>
        <w:spacing w:line="36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六</w:t>
      </w:r>
      <w:bookmarkStart w:id="2" w:name="_GoBack"/>
      <w:bookmarkEnd w:id="2"/>
      <w:r>
        <w:rPr>
          <w:rFonts w:hint="eastAsia" w:asciiTheme="minorEastAsia" w:hAnsiTheme="minorEastAsia" w:eastAsiaTheme="minorEastAsia" w:cstheme="minorEastAsia"/>
          <w:sz w:val="24"/>
          <w:szCs w:val="24"/>
        </w:rPr>
        <w:t>、上月待协调事项跟踪落实情况</w:t>
      </w:r>
    </w:p>
    <w:tbl>
      <w:tblPr>
        <w:tblStyle w:val="5"/>
        <w:tblW w:w="10472" w:type="dxa"/>
        <w:tblInd w:w="-98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743"/>
        <w:gridCol w:w="1736"/>
        <w:gridCol w:w="1932"/>
        <w:gridCol w:w="1928"/>
        <w:gridCol w:w="14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序号</w:t>
            </w:r>
          </w:p>
        </w:tc>
        <w:tc>
          <w:tcPr>
            <w:tcW w:w="1743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提出日期</w:t>
            </w:r>
          </w:p>
        </w:tc>
        <w:tc>
          <w:tcPr>
            <w:tcW w:w="1736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待协调事项</w:t>
            </w:r>
          </w:p>
        </w:tc>
        <w:tc>
          <w:tcPr>
            <w:tcW w:w="1932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提出人</w:t>
            </w:r>
          </w:p>
        </w:tc>
        <w:tc>
          <w:tcPr>
            <w:tcW w:w="1928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责任人</w:t>
            </w:r>
          </w:p>
        </w:tc>
        <w:tc>
          <w:tcPr>
            <w:tcW w:w="1431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跟踪落实情况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743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1736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施工单位资料审核。</w:t>
            </w:r>
          </w:p>
        </w:tc>
        <w:tc>
          <w:tcPr>
            <w:tcW w:w="1932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楚万发</w:t>
            </w:r>
          </w:p>
        </w:tc>
        <w:tc>
          <w:tcPr>
            <w:tcW w:w="1928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各项目负责人</w:t>
            </w:r>
          </w:p>
        </w:tc>
        <w:tc>
          <w:tcPr>
            <w:tcW w:w="1431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已落实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1743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1736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材料、设备进场计划</w:t>
            </w:r>
          </w:p>
        </w:tc>
        <w:tc>
          <w:tcPr>
            <w:tcW w:w="1932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马良东</w:t>
            </w:r>
          </w:p>
        </w:tc>
        <w:tc>
          <w:tcPr>
            <w:tcW w:w="1928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海军</w:t>
            </w:r>
          </w:p>
        </w:tc>
        <w:tc>
          <w:tcPr>
            <w:tcW w:w="1431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已落实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1743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9月3日 </w:t>
            </w:r>
          </w:p>
        </w:tc>
        <w:tc>
          <w:tcPr>
            <w:tcW w:w="1736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施工人员购买保险</w:t>
            </w:r>
          </w:p>
        </w:tc>
        <w:tc>
          <w:tcPr>
            <w:tcW w:w="1932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孙富斌</w:t>
            </w:r>
          </w:p>
        </w:tc>
        <w:tc>
          <w:tcPr>
            <w:tcW w:w="1928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各项目负责人</w:t>
            </w:r>
          </w:p>
        </w:tc>
        <w:tc>
          <w:tcPr>
            <w:tcW w:w="1431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已落实</w:t>
            </w:r>
          </w:p>
        </w:tc>
      </w:tr>
    </w:tbl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8" w:usb3="00000000" w:csb0="000001F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117F"/>
    <w:rsid w:val="00121450"/>
    <w:rsid w:val="00172A27"/>
    <w:rsid w:val="001B286C"/>
    <w:rsid w:val="001C700E"/>
    <w:rsid w:val="001D6B4B"/>
    <w:rsid w:val="001F73A7"/>
    <w:rsid w:val="00206F17"/>
    <w:rsid w:val="00231C9C"/>
    <w:rsid w:val="004D5408"/>
    <w:rsid w:val="005F2C8C"/>
    <w:rsid w:val="00664E46"/>
    <w:rsid w:val="006A1898"/>
    <w:rsid w:val="00707D3A"/>
    <w:rsid w:val="0073532C"/>
    <w:rsid w:val="00744AB3"/>
    <w:rsid w:val="007B678C"/>
    <w:rsid w:val="008D7FE8"/>
    <w:rsid w:val="009749D0"/>
    <w:rsid w:val="009B5DA6"/>
    <w:rsid w:val="00A93D86"/>
    <w:rsid w:val="00AD10F6"/>
    <w:rsid w:val="00AE3CBB"/>
    <w:rsid w:val="00B028CB"/>
    <w:rsid w:val="00B10B6C"/>
    <w:rsid w:val="00B164E1"/>
    <w:rsid w:val="00BA186D"/>
    <w:rsid w:val="00BA392B"/>
    <w:rsid w:val="00CC05CA"/>
    <w:rsid w:val="00D60A7A"/>
    <w:rsid w:val="00D61900"/>
    <w:rsid w:val="00D72E72"/>
    <w:rsid w:val="00D86C51"/>
    <w:rsid w:val="00E32A81"/>
    <w:rsid w:val="00EA3401"/>
    <w:rsid w:val="00EA7686"/>
    <w:rsid w:val="00F42ECE"/>
    <w:rsid w:val="00FB5169"/>
    <w:rsid w:val="00FB5DB5"/>
    <w:rsid w:val="10512E09"/>
    <w:rsid w:val="1B1F4F49"/>
    <w:rsid w:val="20057CD5"/>
    <w:rsid w:val="2BE03ABD"/>
    <w:rsid w:val="2FD10811"/>
    <w:rsid w:val="4AD21300"/>
    <w:rsid w:val="7C265C40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cs="黑体"/>
      <w:b/>
      <w:bCs/>
      <w:sz w:val="32"/>
      <w:szCs w:val="32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Default"/>
    <w:semiHidden/>
    <w:qFormat/>
    <w:uiPriority w:val="0"/>
    <w:pPr>
      <w:widowControl w:val="0"/>
      <w:autoSpaceDE w:val="0"/>
      <w:autoSpaceDN w:val="0"/>
      <w:adjustRightInd w:val="0"/>
      <w:jc w:val="center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customStyle="1" w:styleId="7">
    <w:name w:val="01"/>
    <w:basedOn w:val="1"/>
    <w:qFormat/>
    <w:uiPriority w:val="0"/>
    <w:pPr>
      <w:tabs>
        <w:tab w:val="left" w:pos="720"/>
      </w:tabs>
      <w:overflowPunct w:val="0"/>
      <w:topLinePunct/>
      <w:ind w:firstLine="422" w:firstLineChars="200"/>
    </w:pPr>
    <w:rPr>
      <w:rFonts w:eastAsia="黑体"/>
      <w:color w:val="000000"/>
      <w:kern w:val="21"/>
      <w:szCs w:val="21"/>
    </w:rPr>
  </w:style>
  <w:style w:type="paragraph" w:customStyle="1" w:styleId="8">
    <w:name w:val="2a"/>
    <w:basedOn w:val="3"/>
    <w:qFormat/>
    <w:uiPriority w:val="0"/>
    <w:pPr>
      <w:topLinePunct/>
      <w:spacing w:before="0" w:after="0" w:line="480" w:lineRule="auto"/>
      <w:jc w:val="center"/>
    </w:pPr>
    <w:rPr>
      <w:rFonts w:ascii="黑体" w:hAnsi="Arial" w:eastAsia="黑体" w:cs="Times New Roman"/>
      <w:b w:val="0"/>
      <w:kern w:val="21"/>
      <w:sz w:val="24"/>
      <w:szCs w:val="24"/>
    </w:rPr>
  </w:style>
  <w:style w:type="paragraph" w:customStyle="1" w:styleId="9">
    <w:name w:val="D3"/>
    <w:basedOn w:val="1"/>
    <w:qFormat/>
    <w:uiPriority w:val="0"/>
    <w:pPr>
      <w:overflowPunct w:val="0"/>
      <w:topLinePunct/>
      <w:spacing w:line="480" w:lineRule="auto"/>
      <w:jc w:val="center"/>
    </w:pPr>
    <w:rPr>
      <w:rFonts w:ascii="黑体" w:hAnsi="宋体" w:eastAsia="黑体"/>
      <w:color w:val="000000"/>
      <w:sz w:val="24"/>
      <w:szCs w:val="24"/>
    </w:rPr>
  </w:style>
  <w:style w:type="paragraph" w:customStyle="1" w:styleId="10">
    <w:name w:val="02"/>
    <w:basedOn w:val="2"/>
    <w:link w:val="11"/>
    <w:qFormat/>
    <w:uiPriority w:val="0"/>
    <w:pPr>
      <w:overflowPunct w:val="0"/>
      <w:topLinePunct/>
      <w:spacing w:before="0" w:after="0" w:line="240" w:lineRule="auto"/>
    </w:pPr>
    <w:rPr>
      <w:rFonts w:ascii="Arial" w:hAnsi="Arial" w:eastAsia="黑体" w:cs="黑体"/>
      <w:b w:val="0"/>
      <w:bCs w:val="0"/>
      <w:kern w:val="2"/>
      <w:sz w:val="21"/>
      <w:szCs w:val="21"/>
    </w:rPr>
  </w:style>
  <w:style w:type="character" w:customStyle="1" w:styleId="11">
    <w:name w:val="02 Char"/>
    <w:basedOn w:val="4"/>
    <w:link w:val="10"/>
    <w:qFormat/>
    <w:uiPriority w:val="0"/>
    <w:rPr>
      <w:rFonts w:ascii="Arial" w:hAnsi="Arial" w:eastAsia="黑体"/>
      <w:szCs w:val="21"/>
    </w:rPr>
  </w:style>
  <w:style w:type="character" w:customStyle="1" w:styleId="12">
    <w:name w:val="标题 2 Char"/>
    <w:basedOn w:val="4"/>
    <w:link w:val="3"/>
    <w:semiHidden/>
    <w:qFormat/>
    <w:uiPriority w:val="9"/>
    <w:rPr>
      <w:rFonts w:ascii="Cambria" w:hAnsi="Cambria" w:eastAsia="宋体" w:cs="黑体"/>
      <w:b/>
      <w:bCs/>
      <w:sz w:val="32"/>
      <w:szCs w:val="32"/>
    </w:rPr>
  </w:style>
  <w:style w:type="character" w:customStyle="1" w:styleId="13">
    <w:name w:val="标题 1 Char"/>
    <w:basedOn w:val="4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442</Words>
  <Characters>2524</Characters>
  <Lines>21</Lines>
  <Paragraphs>5</Paragraphs>
  <ScaleCrop>false</ScaleCrop>
  <LinksUpToDate>false</LinksUpToDate>
  <CharactersWithSpaces>2961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2014-07-29T22:24:00Z</dcterms:created>
  <dc:creator>Administrator</dc:creator>
  <cp:lastModifiedBy>Administrator</cp:lastModifiedBy>
  <dcterms:modified xsi:type="dcterms:W3CDTF">2016-06-30T12:54:28Z</dcterms:modified>
  <dc:title>JXMB17  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