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rPr>
          <w:kern w:val="2"/>
        </w:rPr>
      </w:pPr>
    </w:p>
    <w:p>
      <w:pPr>
        <w:topLinePunct/>
        <w:ind w:firstLine="425"/>
        <w:rPr>
          <w:szCs w:val="21"/>
        </w:rPr>
      </w:pPr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编号：JL-2017-0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-0</w:t>
      </w:r>
      <w:r>
        <w:rPr>
          <w:rFonts w:hint="eastAsia"/>
          <w:sz w:val="18"/>
          <w:szCs w:val="18"/>
          <w:lang w:val="en-US" w:eastAsia="zh-CN"/>
        </w:rPr>
        <w:t>11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8"/>
        <w:jc w:val="both"/>
      </w:pPr>
      <w:bookmarkStart w:id="0" w:name="_Toc388020196"/>
      <w:r>
        <w:rPr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rPr>
          <w:szCs w:val="21"/>
        </w:rPr>
      </w:pPr>
      <w:r>
        <w:rPr>
          <w:rFonts w:hint="eastAsia"/>
          <w:szCs w:val="21"/>
        </w:rPr>
        <w:t xml:space="preserve">         工程名称：</w:t>
      </w:r>
      <w:r>
        <w:rPr>
          <w:rFonts w:hint="eastAsia"/>
          <w:sz w:val="24"/>
        </w:rPr>
        <w:t>湖北天湖能源孝南三汊40MWp分布式农光互补光伏发电项目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 xml:space="preserve">2017年 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 xml:space="preserve">月   第 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期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总监理工程师：  </w:t>
      </w:r>
      <w:r>
        <w:rPr>
          <w:rFonts w:hint="eastAsia"/>
          <w:szCs w:val="21"/>
          <w:u w:val="single"/>
        </w:rPr>
        <w:t>李维军</w:t>
      </w:r>
    </w:p>
    <w:p>
      <w:pPr>
        <w:topLinePunct/>
        <w:ind w:firstLine="425"/>
        <w:rPr>
          <w:szCs w:val="21"/>
          <w:u w:val="single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报告日期：2017年0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p>
      <w:pPr>
        <w:topLinePunct/>
        <w:ind w:firstLine="425"/>
        <w:rPr>
          <w:szCs w:val="21"/>
        </w:rPr>
      </w:pPr>
    </w:p>
    <w:p>
      <w:pPr>
        <w:topLinePunct/>
        <w:spacing w:line="960" w:lineRule="auto"/>
        <w:jc w:val="center"/>
        <w:rPr>
          <w:rFonts w:ascii="黑体" w:hAnsi="宋体" w:eastAsia="黑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宋体" w:eastAsia="黑体"/>
          <w:kern w:val="21"/>
          <w:sz w:val="28"/>
          <w:szCs w:val="28"/>
        </w:rPr>
        <w:t>监  理  月  报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1  </w:t>
      </w:r>
      <w:r>
        <w:rPr>
          <w:rFonts w:hint="eastAsia" w:eastAsia="黑体"/>
          <w:szCs w:val="21"/>
        </w:rPr>
        <w:t>本月工程实施情况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2</w:t>
      </w:r>
      <w:r>
        <w:rPr>
          <w:rFonts w:hint="eastAsia" w:eastAsia="黑体"/>
          <w:szCs w:val="21"/>
        </w:rPr>
        <w:t xml:space="preserve">  本月监理工作情况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4.1  在工程管理方面的监理工作重点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4.2  在项目监理机构内部管理方面的工作重点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right" w:pos="7541"/>
        </w:tabs>
        <w:topLinePunct/>
        <w:adjustRightInd w:val="0"/>
        <w:rPr>
          <w:rFonts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1  </w:t>
      </w:r>
      <w:r>
        <w:rPr>
          <w:rFonts w:hint="eastAsia" w:eastAsia="黑体"/>
          <w:sz w:val="28"/>
          <w:szCs w:val="28"/>
        </w:rPr>
        <w:t>本月工程实施情况</w:t>
      </w:r>
    </w:p>
    <w:tbl>
      <w:tblPr>
        <w:tblStyle w:val="5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监理通知单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监理备忘录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月报时限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2017年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月1日--2017年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工程概况：该项目为湖北天湖能源孝南三汊40MWp分布式农光互补光伏发电项目工程，其中：农光互补38.8MWp,农业大棚1.2MWp。项目位于孝感孝南区三汊镇石板沟水库，项目</w:t>
            </w:r>
            <w:r>
              <w:rPr>
                <w:sz w:val="24"/>
              </w:rPr>
              <w:t>占地约</w:t>
            </w:r>
            <w:r>
              <w:rPr>
                <w:rFonts w:hint="eastAsia"/>
                <w:sz w:val="24"/>
              </w:rPr>
              <w:t>1200</w:t>
            </w:r>
            <w:r>
              <w:rPr>
                <w:sz w:val="24"/>
              </w:rPr>
              <w:t>亩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功率为</w:t>
            </w:r>
            <w:r>
              <w:rPr>
                <w:rFonts w:hint="eastAsia"/>
                <w:sz w:val="24"/>
              </w:rPr>
              <w:t>285Wp（7650块）、270Wp（6740块）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多</w:t>
            </w:r>
            <w:r>
              <w:rPr>
                <w:sz w:val="24"/>
              </w:rPr>
              <w:t>晶硅光伏组件</w:t>
            </w:r>
            <w:r>
              <w:rPr>
                <w:rFonts w:hint="eastAsia"/>
                <w:sz w:val="24"/>
              </w:rPr>
              <w:t>，14390</w:t>
            </w:r>
            <w:r>
              <w:rPr>
                <w:sz w:val="24"/>
              </w:rPr>
              <w:t>块，</w:t>
            </w:r>
            <w:r>
              <w:rPr>
                <w:rFonts w:hint="eastAsia"/>
                <w:sz w:val="24"/>
              </w:rPr>
              <w:t>高强</w:t>
            </w:r>
            <w:r>
              <w:rPr>
                <w:rFonts w:hint="eastAsia" w:ascii="宋体" w:hAnsi="宋体" w:cs="宋体"/>
                <w:sz w:val="24"/>
              </w:rPr>
              <w:t>Φ300砼</w:t>
            </w:r>
            <w:r>
              <w:rPr>
                <w:rFonts w:hint="eastAsia"/>
                <w:sz w:val="24"/>
              </w:rPr>
              <w:t>管桩25760根；汇流箱408台，1000kW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32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，1000kVA箱式变压器32台，2000kW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2000kVA箱式变压器1台，组成33个方阵发电单元；光伏组件方阵、直流汇流箱、逆变器及升压变压器以单元为单位就地布置，经4条35kV电缆接至新建35kV开关站；送出外线由19基铁塔组成双回35kV架空线路，长度4.3km，接入110kV 三元宫变电站35kV侧，升压站由配电楼、综合楼和室外配电装置组成。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本工程2016年4月23日正式开工：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1、升压站配电楼：完成100%。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2、升压站综合楼：完成100%。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3、升压站附属工程：消防小间完，排水系统完成100%。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4、光伏区：管桩累</w:t>
            </w:r>
            <w:r>
              <w:rPr>
                <w:rFonts w:hint="eastAsia"/>
                <w:sz w:val="24"/>
                <w:lang w:eastAsia="zh-CN"/>
              </w:rPr>
              <w:t>计</w:t>
            </w:r>
            <w:r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  <w:lang w:val="en-US" w:eastAsia="zh-CN"/>
              </w:rPr>
              <w:t>30712</w:t>
            </w:r>
            <w:r>
              <w:rPr>
                <w:rFonts w:hint="eastAsia"/>
                <w:sz w:val="24"/>
              </w:rPr>
              <w:t>根，完成</w:t>
            </w:r>
            <w:r>
              <w:rPr>
                <w:rFonts w:hint="eastAsia"/>
                <w:sz w:val="24"/>
                <w:lang w:val="en-US" w:eastAsia="zh-CN"/>
              </w:rPr>
              <w:t>120</w:t>
            </w:r>
            <w:r>
              <w:rPr>
                <w:rFonts w:hint="eastAsia"/>
                <w:sz w:val="24"/>
              </w:rPr>
              <w:t>%；组件安装完成</w:t>
            </w:r>
            <w:r>
              <w:rPr>
                <w:rFonts w:hint="eastAsia"/>
                <w:sz w:val="24"/>
                <w:lang w:val="en-US" w:eastAsia="zh-CN"/>
              </w:rPr>
              <w:t>6990</w:t>
            </w:r>
            <w:r>
              <w:rPr>
                <w:rFonts w:hint="eastAsia"/>
                <w:sz w:val="24"/>
              </w:rPr>
              <w:t>组，完成</w:t>
            </w:r>
            <w:r>
              <w:rPr>
                <w:rFonts w:hint="eastAsia"/>
                <w:sz w:val="24"/>
                <w:lang w:val="en-US" w:eastAsia="zh-CN"/>
              </w:rPr>
              <w:t>98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箱逆变完成</w:t>
            </w:r>
            <w:r>
              <w:rPr>
                <w:rFonts w:hint="eastAsia"/>
                <w:sz w:val="24"/>
                <w:lang w:val="en-US" w:eastAsia="zh-CN"/>
              </w:rPr>
              <w:t>39</w:t>
            </w:r>
            <w:r>
              <w:rPr>
                <w:rFonts w:hint="eastAsia"/>
                <w:sz w:val="24"/>
              </w:rPr>
              <w:t>组,完成</w:t>
            </w:r>
            <w:r>
              <w:rPr>
                <w:rFonts w:hint="eastAsia"/>
                <w:sz w:val="24"/>
                <w:lang w:val="en-US" w:eastAsia="zh-CN"/>
              </w:rPr>
              <w:t>100</w:t>
            </w:r>
            <w:r>
              <w:rPr>
                <w:rFonts w:hint="eastAsia"/>
                <w:sz w:val="24"/>
              </w:rPr>
              <w:t>%；接地完成3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个方阵；已并网</w:t>
            </w:r>
            <w:r>
              <w:rPr>
                <w:rFonts w:hint="eastAsia"/>
                <w:sz w:val="24"/>
                <w:lang w:val="en-US" w:eastAsia="zh-CN"/>
              </w:rPr>
              <w:t>35.85</w:t>
            </w:r>
            <w:r>
              <w:rPr>
                <w:rFonts w:hint="eastAsia"/>
                <w:sz w:val="24"/>
              </w:rPr>
              <w:t>MWp，完成</w:t>
            </w:r>
            <w:r>
              <w:rPr>
                <w:rFonts w:hint="eastAsia"/>
                <w:sz w:val="24"/>
                <w:lang w:val="en-US" w:eastAsia="zh-CN"/>
              </w:rPr>
              <w:t>90</w:t>
            </w:r>
            <w:r>
              <w:rPr>
                <w:rFonts w:hint="eastAsia"/>
                <w:sz w:val="24"/>
              </w:rPr>
              <w:t>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5、35kV外线及对侧间隔：全部完成。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6、场区围栏：未施工。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7、进场道路：全部完成。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8、场区道路：路基全部完成，满足施工条件。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9、临电：满足施工要求。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2本月监理工作情况</w:t>
      </w: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spacing w:after="24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本月工程进度控制情况评析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6"/>
        <w:gridCol w:w="1806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2016年4月23日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2017年</w:t>
            </w: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根，支架完成10MWp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</w:rPr>
              <w:t>根，支架完成</w:t>
            </w: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30</w:t>
            </w:r>
            <w:r>
              <w:rPr>
                <w:rFonts w:hint="eastAsia" w:ascii="宋体"/>
                <w:sz w:val="24"/>
              </w:rPr>
              <w:t>天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根据建设单位的要求，总包单位根据现场情况编制可行进度计划；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倒排</w:t>
            </w:r>
            <w:r>
              <w:rPr>
                <w:rFonts w:hint="eastAsia" w:ascii="宋体"/>
                <w:sz w:val="24"/>
                <w:lang w:eastAsia="zh-CN"/>
              </w:rPr>
              <w:t>总施工进度</w:t>
            </w:r>
            <w:r>
              <w:rPr>
                <w:rFonts w:hint="eastAsia" w:ascii="宋体"/>
                <w:sz w:val="24"/>
              </w:rPr>
              <w:t>计划，</w:t>
            </w:r>
            <w:r>
              <w:rPr>
                <w:rFonts w:hint="eastAsia" w:ascii="宋体"/>
                <w:sz w:val="24"/>
                <w:lang w:eastAsia="zh-CN"/>
              </w:rPr>
              <w:t>未</w:t>
            </w:r>
            <w:r>
              <w:rPr>
                <w:rFonts w:hint="eastAsia" w:ascii="宋体"/>
                <w:sz w:val="24"/>
              </w:rPr>
              <w:t>按计划组织实施；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直流电施工人员严重不足</w:t>
            </w:r>
            <w:r>
              <w:rPr>
                <w:rFonts w:hint="eastAsia" w:ascii="宋体"/>
                <w:sz w:val="24"/>
                <w:lang w:val="en-US" w:eastAsia="zh-CN"/>
              </w:rPr>
              <w:t>,目前仅18人</w:t>
            </w:r>
            <w:r>
              <w:rPr>
                <w:rFonts w:hint="eastAsia" w:ascii="宋体"/>
                <w:sz w:val="24"/>
                <w:lang w:eastAsia="zh-CN"/>
              </w:rPr>
              <w:t>以及雨水多，都是</w:t>
            </w:r>
            <w:r>
              <w:rPr>
                <w:rFonts w:hint="eastAsia" w:ascii="宋体"/>
                <w:sz w:val="24"/>
              </w:rPr>
              <w:t>严重影响</w:t>
            </w: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</w:rPr>
              <w:t>进度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  <w:r>
              <w:rPr>
                <w:rFonts w:hint="eastAsia" w:ascii="宋体"/>
                <w:sz w:val="24"/>
              </w:rPr>
              <w:t>并网</w:t>
            </w:r>
            <w:r>
              <w:rPr>
                <w:rFonts w:hint="eastAsia" w:ascii="宋体"/>
                <w:sz w:val="24"/>
                <w:lang w:val="en-US" w:eastAsia="zh-CN"/>
              </w:rPr>
              <w:t>1.2</w:t>
            </w:r>
            <w:r>
              <w:rPr>
                <w:rFonts w:hint="eastAsia" w:ascii="宋体"/>
                <w:sz w:val="24"/>
              </w:rPr>
              <w:t>MWp，累计并网</w:t>
            </w:r>
            <w:r>
              <w:rPr>
                <w:rFonts w:hint="eastAsia" w:ascii="宋体"/>
                <w:sz w:val="24"/>
                <w:lang w:val="en-US" w:eastAsia="zh-CN"/>
              </w:rPr>
              <w:t>35.85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对升压站已完成预验收，查出质量需要整改问题，已整改完</w:t>
            </w:r>
            <w:r>
              <w:rPr>
                <w:rFonts w:hint="eastAsia" w:ascii="宋体"/>
                <w:sz w:val="24"/>
                <w:lang w:val="en-US" w:eastAsia="zh-CN"/>
              </w:rPr>
              <w:t>,上海新能源工程部专项质量检查存在35条问题,现在消缺中。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1、</w:t>
            </w:r>
            <w:r>
              <w:rPr>
                <w:rFonts w:hint="eastAsia" w:ascii="宋体"/>
                <w:sz w:val="24"/>
              </w:rPr>
              <w:t>组件、支架</w:t>
            </w:r>
            <w:r>
              <w:rPr>
                <w:rFonts w:hint="eastAsia" w:ascii="宋体"/>
                <w:sz w:val="24"/>
                <w:lang w:eastAsia="zh-CN"/>
              </w:rPr>
              <w:t>全部</w:t>
            </w:r>
            <w:r>
              <w:rPr>
                <w:rFonts w:hint="eastAsia" w:ascii="宋体"/>
                <w:sz w:val="24"/>
              </w:rPr>
              <w:t>完成。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2、</w:t>
            </w:r>
            <w:r>
              <w:rPr>
                <w:rFonts w:hint="eastAsia" w:ascii="宋体"/>
                <w:sz w:val="24"/>
              </w:rPr>
              <w:t>光伏区接地完成</w:t>
            </w:r>
            <w:r>
              <w:rPr>
                <w:rFonts w:hint="eastAsia" w:ascii="宋体"/>
                <w:sz w:val="24"/>
                <w:lang w:val="en-US" w:eastAsia="zh-CN"/>
              </w:rPr>
              <w:t>90%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3、</w:t>
            </w:r>
            <w:r>
              <w:rPr>
                <w:rFonts w:hint="eastAsia" w:ascii="宋体"/>
                <w:sz w:val="24"/>
              </w:rPr>
              <w:t>光伏区集电线路</w:t>
            </w:r>
            <w:r>
              <w:rPr>
                <w:rFonts w:hint="eastAsia" w:ascii="宋体"/>
                <w:sz w:val="24"/>
                <w:lang w:eastAsia="zh-CN"/>
              </w:rPr>
              <w:t>全部</w:t>
            </w:r>
            <w:r>
              <w:rPr>
                <w:rFonts w:hint="eastAsia" w:ascii="宋体"/>
                <w:sz w:val="24"/>
              </w:rPr>
              <w:t>完成。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4、</w:t>
            </w:r>
            <w:r>
              <w:rPr>
                <w:rFonts w:hint="eastAsia" w:ascii="宋体"/>
                <w:sz w:val="24"/>
              </w:rPr>
              <w:t>倒送电、并网完成</w:t>
            </w:r>
            <w:r>
              <w:rPr>
                <w:rFonts w:hint="eastAsia" w:ascii="宋体"/>
                <w:sz w:val="24"/>
                <w:lang w:val="en-US" w:eastAsia="zh-CN"/>
              </w:rPr>
              <w:t>12.15</w:t>
            </w:r>
            <w:r>
              <w:rPr>
                <w:rFonts w:hint="eastAsia" w:ascii="宋体"/>
                <w:sz w:val="24"/>
              </w:rPr>
              <w:t>MWp</w:t>
            </w:r>
            <w:r>
              <w:rPr>
                <w:rFonts w:hint="eastAsia" w:ascii="宋体"/>
                <w:sz w:val="24"/>
                <w:lang w:val="en-US" w:eastAsia="zh-CN"/>
              </w:rPr>
              <w:t>(累计全容量并网48</w:t>
            </w:r>
            <w:r>
              <w:rPr>
                <w:rFonts w:hint="eastAsia" w:ascii="宋体"/>
                <w:sz w:val="24"/>
              </w:rPr>
              <w:t>MWp</w:t>
            </w:r>
            <w:r>
              <w:rPr>
                <w:rFonts w:hint="eastAsia" w:ascii="宋体"/>
                <w:sz w:val="24"/>
                <w:lang w:val="en-US" w:eastAsia="zh-CN"/>
              </w:rPr>
              <w:t>)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5、光伏场区围护完成。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6、光伏场区外围接地全部完成。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7、光伏场区道路完成。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8、消缺全部完成。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spacing w:after="12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本月工程质量控制情况评析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60"/>
        <w:gridCol w:w="296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对进场材料及时检查。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对光伏区接地及电缆沟槽开挖深度检查，符合设计要求。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对接地网焊接处检查，接触面焊缝、搭接长度及连接方式符合设计要求。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6、对支架及组件安装检查,发现不顺直,板面塌腰严重,现己有专人整改</w:t>
            </w:r>
            <w:r>
              <w:rPr>
                <w:rFonts w:hint="eastAsia" w:ascii="宋体"/>
                <w:sz w:val="24"/>
                <w:lang w:eastAsia="zh-CN"/>
              </w:rPr>
              <w:t>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每天坚持上、下午2次巡视现场，发现问题立即处理，当场整改。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</w:t>
            </w:r>
            <w:r>
              <w:rPr>
                <w:rFonts w:hint="eastAsia" w:ascii="宋体"/>
                <w:sz w:val="24"/>
                <w:lang w:eastAsia="zh-CN"/>
              </w:rPr>
              <w:t>支架、</w:t>
            </w:r>
            <w:r>
              <w:rPr>
                <w:rFonts w:hint="eastAsia" w:ascii="宋体"/>
                <w:sz w:val="24"/>
              </w:rPr>
              <w:t>组件的质量，发现问题，拒绝进场。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严格控制</w:t>
            </w:r>
            <w:r>
              <w:rPr>
                <w:rFonts w:hint="eastAsia" w:ascii="宋体"/>
                <w:sz w:val="24"/>
                <w:lang w:eastAsia="zh-CN"/>
              </w:rPr>
              <w:t>场区外围接地焊接质量要求。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检查电气设备的质量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检查消缺完成质量情况。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spacing w:after="120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本月施工安全生产管理工作评析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发出监理通知单（安全类）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有三级安全教育，有对施工班组进行书面安全技术交底。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监理每天对现场安全文明施工日常检查。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施工人员均戴好安全帽。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在日常检查中发现以下问题：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1）部分施工人员支架高空作业未挂好安全带。</w:t>
            </w:r>
          </w:p>
          <w:p>
            <w:pPr>
              <w:pStyle w:val="9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2）</w:t>
            </w:r>
            <w:r>
              <w:rPr>
                <w:rFonts w:hint="eastAsia" w:ascii="宋体"/>
                <w:sz w:val="24"/>
                <w:lang w:eastAsia="zh-CN"/>
              </w:rPr>
              <w:t>部份施工人员上班打赤膊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ind w:firstLine="0" w:firstLine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3）总包没有专职安全员。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下月安全生产管理的监理工作展望和目标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加强对施工单位的安全教育的监管；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消除安全工作中麻痹思想；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加强现场施工临时用电、高空作业安全检查，对违章零容隐；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对屡教不改的做清场处理；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加大处罚力度；</w:t>
            </w:r>
          </w:p>
        </w:tc>
      </w:tr>
    </w:tbl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spacing w:after="24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本月造价控制情况评析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247"/>
        <w:gridCol w:w="96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工程总投资额     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　</w:t>
            </w:r>
            <w:r>
              <w:rPr>
                <w:rFonts w:hint="eastAsia" w:ascii="宋体"/>
                <w:sz w:val="24"/>
                <w:lang w:val="en-US" w:eastAsia="zh-CN"/>
              </w:rPr>
              <w:t>350</w:t>
            </w:r>
            <w:r>
              <w:rPr>
                <w:rFonts w:hint="eastAsia" w:ascii="宋体"/>
                <w:sz w:val="24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截止本月25日累计完成金额占总投资额百分比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  <w:r>
              <w:rPr>
                <w:rFonts w:hint="eastAsia" w:ascii="宋体"/>
                <w:sz w:val="24"/>
                <w:lang w:val="en-US" w:eastAsia="zh-CN"/>
              </w:rPr>
              <w:t>80</w:t>
            </w:r>
            <w:r>
              <w:rPr>
                <w:rFonts w:hint="eastAsia" w:ascii="宋体"/>
                <w:sz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本月批准付款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6547</w:t>
            </w: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  <w:lang w:val="en-US" w:eastAsia="zh-CN"/>
              </w:rPr>
              <w:t>11851</w:t>
            </w:r>
            <w:r>
              <w:rPr>
                <w:rFonts w:hint="eastAsia" w:asci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1、签预付款0%，累计0万元；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1、暂时未知；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本月工程合同管理及其它事项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协调业主和总包之间的关系。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对业主要求的质量问题由我监理方下达施工单位。</w:t>
            </w:r>
          </w:p>
          <w:p>
            <w:pPr>
              <w:rPr>
                <w:rFonts w:eastAsia="黑体"/>
                <w:sz w:val="36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b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3.1  工程存在问题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直流电施工人员不足。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3.2   </w:t>
            </w:r>
            <w:r>
              <w:rPr>
                <w:rFonts w:hint="eastAsia" w:ascii="宋体" w:hAnsi="宋体" w:cs="宋体"/>
                <w:szCs w:val="21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增加施工人员</w:t>
            </w: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4.1  在工程管理方面的监理工作重点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严控材料进场关，不符合设计及规范要求的材料严禁进场；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对分部及分项工程、工序等的验收进行把控；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对关键工序、特殊作业进行旁站；</w:t>
            </w:r>
          </w:p>
          <w:p>
            <w:pPr>
              <w:numPr>
                <w:ilvl w:val="0"/>
                <w:numId w:val="7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依据合同对施工单位进行管理；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4.2  在项目监理机构内部管理方面的工作重点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1.组织相关人员学习专业知识；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2.对图纸及规范仔细认真研读，领会设计意图；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3.加强内部管理，做好资料的整理工作；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5 相关照片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drawing>
                <wp:inline distT="0" distB="0" distL="114300" distR="114300">
                  <wp:extent cx="2588260" cy="1905635"/>
                  <wp:effectExtent l="0" t="0" r="2540" b="18415"/>
                  <wp:docPr id="1" name="图片 1" descr="44618116898456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461811689845655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  41区组件安装                     </w:t>
            </w:r>
          </w:p>
        </w:tc>
        <w:tc>
          <w:tcPr>
            <w:tcW w:w="4261" w:type="dxa"/>
          </w:tcPr>
          <w:p>
            <w:pPr>
              <w:tabs>
                <w:tab w:val="left" w:pos="142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2617470" cy="1920240"/>
                  <wp:effectExtent l="0" t="0" r="11430" b="3810"/>
                  <wp:docPr id="3" name="图片 3" descr="27601243548272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760124354827219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42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27区组件安装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4" name="图片 4" descr="5873637505387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736375053871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汇流箱接地</w:t>
            </w:r>
          </w:p>
        </w:tc>
        <w:tc>
          <w:tcPr>
            <w:tcW w:w="4261" w:type="dxa"/>
          </w:tcPr>
          <w:p>
            <w:pPr>
              <w:tabs>
                <w:tab w:val="left" w:pos="103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6" name="图片 6" descr="886864367644248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868643676442486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14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ab/>
              <w:t xml:space="preserve"> 汇流箱接线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61" w:type="dxa"/>
          </w:tcPr>
          <w:p>
            <w:pPr>
              <w:tabs>
                <w:tab w:val="left" w:pos="1275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7" name="图片 7" descr="44903743727136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90374372713629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275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28区电缆沟回填</w:t>
            </w:r>
          </w:p>
        </w:tc>
        <w:tc>
          <w:tcPr>
            <w:tcW w:w="4261" w:type="dxa"/>
          </w:tcPr>
          <w:p>
            <w:pPr>
              <w:tabs>
                <w:tab w:val="left" w:pos="130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8" name="图片 8" descr="40503761321202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50376132120227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40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ab/>
              <w:t>接地扁铁焊接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9" name="图片 9" descr="65725161495245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572516149524501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06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ab/>
              <w:t>檩条安装</w:t>
            </w:r>
          </w:p>
        </w:tc>
        <w:tc>
          <w:tcPr>
            <w:tcW w:w="4261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0" name="图片 10" descr="42725977347891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272597734789124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70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ab/>
              <w:t>电缆敷设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1" name="图片 11" descr="409342698526905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09342698526905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abs>
                <w:tab w:val="left" w:pos="1461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光伏板接线头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12" name="图片 12" descr="21195861555868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119586155586833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 xml:space="preserve">  横向接地焊接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</w:t>
            </w:r>
          </w:p>
        </w:tc>
        <w:tc>
          <w:tcPr>
            <w:tcW w:w="4261" w:type="dxa"/>
          </w:tcPr>
          <w:p>
            <w:pPr>
              <w:tabs>
                <w:tab w:val="left" w:pos="1545"/>
              </w:tabs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  <w:p>
            <w:pPr>
              <w:tabs>
                <w:tab w:val="left" w:pos="1545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tabs>
                <w:tab w:val="left" w:pos="1275"/>
              </w:tabs>
              <w:rPr>
                <w:rFonts w:hint="eastAsia" w:ascii="宋体" w:hAnsi="宋体" w:eastAsia="宋体" w:cs="宋体"/>
                <w:sz w:val="24"/>
                <w:lang w:eastAsia="zh-CN" w:bidi="ar"/>
              </w:rPr>
            </w:pPr>
          </w:p>
          <w:p>
            <w:pPr>
              <w:tabs>
                <w:tab w:val="left" w:pos="1275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</w:t>
            </w:r>
          </w:p>
        </w:tc>
      </w:tr>
    </w:tbl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9BA"/>
    <w:multiLevelType w:val="multilevel"/>
    <w:tmpl w:val="0FC23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C7D2E"/>
    <w:multiLevelType w:val="multilevel"/>
    <w:tmpl w:val="148C7D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A6D16"/>
    <w:multiLevelType w:val="multilevel"/>
    <w:tmpl w:val="476A6D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E91114"/>
    <w:multiLevelType w:val="multilevel"/>
    <w:tmpl w:val="4EE911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1417A4"/>
    <w:multiLevelType w:val="singleLevel"/>
    <w:tmpl w:val="581417A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16A041"/>
    <w:multiLevelType w:val="singleLevel"/>
    <w:tmpl w:val="5816A04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99D3D08"/>
    <w:multiLevelType w:val="multilevel"/>
    <w:tmpl w:val="799D3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6AB9"/>
    <w:rsid w:val="00053042"/>
    <w:rsid w:val="001130D7"/>
    <w:rsid w:val="00117173"/>
    <w:rsid w:val="00132A50"/>
    <w:rsid w:val="001974A8"/>
    <w:rsid w:val="001A7ECF"/>
    <w:rsid w:val="0027357F"/>
    <w:rsid w:val="005228A8"/>
    <w:rsid w:val="005D4BF0"/>
    <w:rsid w:val="007E5F25"/>
    <w:rsid w:val="00942F5B"/>
    <w:rsid w:val="00A852AE"/>
    <w:rsid w:val="00AF1F3F"/>
    <w:rsid w:val="00D26BA0"/>
    <w:rsid w:val="00E7179A"/>
    <w:rsid w:val="00FE7E61"/>
    <w:rsid w:val="02CE5A53"/>
    <w:rsid w:val="03C86E73"/>
    <w:rsid w:val="065F7807"/>
    <w:rsid w:val="08260D93"/>
    <w:rsid w:val="090F5FBE"/>
    <w:rsid w:val="09A27165"/>
    <w:rsid w:val="09A45CCA"/>
    <w:rsid w:val="09D544DB"/>
    <w:rsid w:val="09E5211C"/>
    <w:rsid w:val="0A541BB2"/>
    <w:rsid w:val="0CD063A1"/>
    <w:rsid w:val="0D974499"/>
    <w:rsid w:val="10F84E8C"/>
    <w:rsid w:val="13376C50"/>
    <w:rsid w:val="14FD6028"/>
    <w:rsid w:val="15F14A46"/>
    <w:rsid w:val="16D325DC"/>
    <w:rsid w:val="1834382E"/>
    <w:rsid w:val="1AD767BE"/>
    <w:rsid w:val="1E871C56"/>
    <w:rsid w:val="1F7465CA"/>
    <w:rsid w:val="20F73135"/>
    <w:rsid w:val="22A66803"/>
    <w:rsid w:val="24496F70"/>
    <w:rsid w:val="2707741F"/>
    <w:rsid w:val="29B609F5"/>
    <w:rsid w:val="2B9E0CC8"/>
    <w:rsid w:val="2C96124E"/>
    <w:rsid w:val="2E0F7400"/>
    <w:rsid w:val="2F173E94"/>
    <w:rsid w:val="2FAB29A2"/>
    <w:rsid w:val="30B61AA3"/>
    <w:rsid w:val="310050EB"/>
    <w:rsid w:val="316615A6"/>
    <w:rsid w:val="3296029D"/>
    <w:rsid w:val="33B64342"/>
    <w:rsid w:val="35EE5F44"/>
    <w:rsid w:val="37894326"/>
    <w:rsid w:val="3BE63D32"/>
    <w:rsid w:val="3D8B0F83"/>
    <w:rsid w:val="3DCD369B"/>
    <w:rsid w:val="3E692C3A"/>
    <w:rsid w:val="3F357582"/>
    <w:rsid w:val="42C07E44"/>
    <w:rsid w:val="430F5F9A"/>
    <w:rsid w:val="43912C42"/>
    <w:rsid w:val="449735E9"/>
    <w:rsid w:val="483E0703"/>
    <w:rsid w:val="4A2B0F11"/>
    <w:rsid w:val="4C2062AB"/>
    <w:rsid w:val="4C65584B"/>
    <w:rsid w:val="4E9C5B9B"/>
    <w:rsid w:val="4FCE6AB9"/>
    <w:rsid w:val="51690267"/>
    <w:rsid w:val="54201C7E"/>
    <w:rsid w:val="54290C09"/>
    <w:rsid w:val="54540A2B"/>
    <w:rsid w:val="60C0502C"/>
    <w:rsid w:val="612A716E"/>
    <w:rsid w:val="64CB5A16"/>
    <w:rsid w:val="67EA07EF"/>
    <w:rsid w:val="69476E4E"/>
    <w:rsid w:val="6A1A32CC"/>
    <w:rsid w:val="6E5D4C86"/>
    <w:rsid w:val="714E5E23"/>
    <w:rsid w:val="71BA7F4B"/>
    <w:rsid w:val="743E76C7"/>
    <w:rsid w:val="7B576CC6"/>
    <w:rsid w:val="7D276404"/>
    <w:rsid w:val="7DA70E69"/>
    <w:rsid w:val="7FA671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539</Words>
  <Characters>3078</Characters>
  <Lines>25</Lines>
  <Paragraphs>7</Paragraphs>
  <ScaleCrop>false</ScaleCrop>
  <LinksUpToDate>false</LinksUpToDate>
  <CharactersWithSpaces>3610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2016-10-18T09:19:00Z</dcterms:created>
  <dc:creator>Administrator</dc:creator>
  <cp:lastModifiedBy>zh3</cp:lastModifiedBy>
  <dcterms:modified xsi:type="dcterms:W3CDTF">2017-09-29T03:11:40Z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