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color w:val="000000"/>
          <w:sz w:val="24"/>
          <w:szCs w:val="24"/>
        </w:rPr>
      </w:pPr>
      <w:r>
        <w:rPr>
          <w:color w:val="FF0000"/>
        </w:rPr>
        <w:pict>
          <v:shape id="_x0000_s1026" o:spid="_x0000_s1026" o:spt="75" type="#_x0000_t75" style="position:absolute;left:0pt;margin-left:12.9pt;margin-top:91.5pt;height:26.15pt;width:85.35pt;mso-wrap-distance-bottom:0pt;mso-wrap-distance-left:9pt;mso-wrap-distance-right:9pt;mso-wrap-distance-top:0pt;z-index:251658240;mso-width-relative:page;mso-height-relative:page;" filled="f" o:preferrelative="t" stroked="f" coordsize="21600,21600">
            <v:path/>
            <v:fill on="f" focussize="0,0"/>
            <v:stroke on="f" joinstyle="miter"/>
            <v:imagedata r:id="rId7" o:title=""/>
            <o:lock v:ext="edit" aspectratio="t"/>
            <w10:wrap type="square"/>
          </v:shape>
        </w:pict>
      </w:r>
      <w:r>
        <w:rPr>
          <w:color w:val="FF0000"/>
        </w:rPr>
        <w:pict>
          <v:shape id="图片 5" o:spid="_x0000_s1027" o:spt="75" type="#_x0000_t75" style="position:absolute;left:0pt;margin-left:12.9pt;margin-top:7.5pt;height:84pt;width:84pt;mso-wrap-distance-bottom:0pt;mso-wrap-distance-left:9pt;mso-wrap-distance-right:9pt;mso-wrap-distance-top:0pt;z-index:251659264;mso-width-relative:page;mso-height-relative:page;" filled="f" o:preferrelative="t" stroked="f" coordsize="21600,21600">
            <v:path/>
            <v:fill on="f" focussize="0,0"/>
            <v:stroke on="f" joinstyle="miter"/>
            <v:imagedata r:id="rId8" o:title=""/>
            <o:lock v:ext="edit" aspectratio="t"/>
            <w10:wrap type="square"/>
          </v:shape>
        </w:pict>
      </w:r>
    </w:p>
    <w:p>
      <w:pPr>
        <w:rPr>
          <w:color w:val="000000"/>
          <w:sz w:val="24"/>
          <w:szCs w:val="24"/>
        </w:rPr>
      </w:pPr>
    </w:p>
    <w:p>
      <w:pPr>
        <w:rPr>
          <w:color w:val="000000"/>
          <w:sz w:val="24"/>
          <w:szCs w:val="24"/>
        </w:rPr>
      </w:pPr>
    </w:p>
    <w:p>
      <w:pPr>
        <w:rPr>
          <w:color w:val="000000"/>
          <w:sz w:val="24"/>
          <w:szCs w:val="24"/>
        </w:rPr>
      </w:pPr>
    </w:p>
    <w:p>
      <w:pPr>
        <w:rPr>
          <w:color w:val="000000"/>
          <w:sz w:val="24"/>
          <w:szCs w:val="24"/>
        </w:rPr>
      </w:pPr>
    </w:p>
    <w:p>
      <w:pPr>
        <w:rPr>
          <w:color w:val="000000"/>
          <w:sz w:val="24"/>
          <w:szCs w:val="24"/>
        </w:rPr>
      </w:pPr>
    </w:p>
    <w:p>
      <w:pPr>
        <w:rPr>
          <w:color w:val="000000"/>
          <w:sz w:val="24"/>
          <w:szCs w:val="24"/>
        </w:rPr>
      </w:pPr>
    </w:p>
    <w:p>
      <w:pPr>
        <w:rPr>
          <w:color w:val="000000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编号：JL-（</w:t>
      </w: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>YTDZ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）-0</w:t>
      </w: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>3</w:t>
      </w:r>
    </w:p>
    <w:p>
      <w:pPr>
        <w:spacing w:beforeLines="400" w:afterLines="150" w:line="480" w:lineRule="auto"/>
        <w:jc w:val="center"/>
        <w:rPr>
          <w:rFonts w:hint="eastAsia" w:ascii="宋体" w:hAnsi="宋体" w:eastAsia="宋体" w:cs="宋体"/>
          <w:b/>
          <w:bCs/>
          <w:color w:val="000000"/>
          <w:sz w:val="52"/>
          <w:szCs w:val="52"/>
        </w:rPr>
      </w:pPr>
      <w:r>
        <w:rPr>
          <w:rFonts w:hint="eastAsia" w:ascii="宋体" w:hAnsi="宋体" w:eastAsia="宋体" w:cs="宋体"/>
          <w:b/>
          <w:bCs/>
          <w:color w:val="000000"/>
          <w:sz w:val="52"/>
          <w:szCs w:val="52"/>
        </w:rPr>
        <w:t>监  理  月  报</w:t>
      </w:r>
    </w:p>
    <w:p>
      <w:pPr>
        <w:spacing w:beforeLines="100" w:afterLines="150" w:line="480" w:lineRule="auto"/>
        <w:jc w:val="center"/>
        <w:rPr>
          <w:rFonts w:hint="eastAsia" w:ascii="宋体" w:hAnsi="宋体" w:eastAsia="宋体" w:cs="宋体"/>
          <w:color w:val="000000"/>
          <w:sz w:val="30"/>
          <w:szCs w:val="30"/>
        </w:rPr>
      </w:pPr>
      <w:r>
        <w:rPr>
          <w:rFonts w:hint="eastAsia" w:ascii="宋体" w:hAnsi="宋体" w:eastAsia="宋体" w:cs="宋体"/>
          <w:color w:val="000000"/>
          <w:sz w:val="30"/>
          <w:szCs w:val="30"/>
          <w:lang w:eastAsia="zh-CN"/>
        </w:rPr>
        <w:t>烟台大展纸业</w:t>
      </w:r>
      <w:r>
        <w:rPr>
          <w:rFonts w:hint="eastAsia" w:ascii="宋体" w:hAnsi="宋体" w:cs="宋体"/>
          <w:color w:val="000000"/>
          <w:sz w:val="30"/>
          <w:szCs w:val="30"/>
          <w:lang w:val="en-US" w:eastAsia="zh-CN"/>
        </w:rPr>
        <w:t>3.22</w:t>
      </w:r>
      <w:r>
        <w:rPr>
          <w:rFonts w:hint="eastAsia" w:ascii="宋体" w:hAnsi="宋体" w:eastAsia="宋体" w:cs="宋体"/>
          <w:color w:val="000000"/>
          <w:sz w:val="30"/>
          <w:szCs w:val="30"/>
          <w:lang w:val="en-US" w:eastAsia="zh-CN"/>
        </w:rPr>
        <w:t>MWp屋顶分布式光伏发电项目</w:t>
      </w:r>
    </w:p>
    <w:p>
      <w:pPr>
        <w:spacing w:beforeLines="50" w:afterLines="50"/>
        <w:jc w:val="center"/>
        <w:rPr>
          <w:rFonts w:hint="eastAsia" w:ascii="宋体" w:hAnsi="宋体" w:eastAsia="宋体" w:cs="宋体"/>
          <w:color w:val="000000"/>
          <w:sz w:val="30"/>
          <w:szCs w:val="30"/>
        </w:rPr>
      </w:pPr>
      <w:r>
        <w:rPr>
          <w:rFonts w:hint="eastAsia" w:ascii="宋体" w:hAnsi="宋体" w:eastAsia="宋体" w:cs="宋体"/>
          <w:color w:val="000000"/>
          <w:sz w:val="30"/>
          <w:szCs w:val="30"/>
          <w:u w:val="single"/>
          <w:lang w:val="en-US" w:eastAsia="zh-CN"/>
        </w:rPr>
        <w:t xml:space="preserve"> 2</w:t>
      </w:r>
      <w:r>
        <w:rPr>
          <w:rFonts w:hint="eastAsia" w:ascii="宋体" w:hAnsi="宋体" w:eastAsia="宋体" w:cs="宋体"/>
          <w:color w:val="000000"/>
          <w:sz w:val="30"/>
          <w:szCs w:val="30"/>
          <w:u w:val="single"/>
        </w:rPr>
        <w:t>01</w:t>
      </w:r>
      <w:r>
        <w:rPr>
          <w:rFonts w:hint="eastAsia" w:ascii="宋体" w:hAnsi="宋体" w:eastAsia="宋体" w:cs="宋体"/>
          <w:color w:val="000000"/>
          <w:sz w:val="30"/>
          <w:szCs w:val="30"/>
          <w:u w:val="single"/>
          <w:lang w:val="en-US" w:eastAsia="zh-CN"/>
        </w:rPr>
        <w:t xml:space="preserve">6 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年</w:t>
      </w:r>
      <w:r>
        <w:rPr>
          <w:rFonts w:hint="eastAsia" w:ascii="宋体" w:hAnsi="宋体" w:eastAsia="宋体" w:cs="宋体"/>
          <w:color w:val="000000"/>
          <w:sz w:val="30"/>
          <w:szCs w:val="30"/>
          <w:u w:val="single"/>
          <w:lang w:val="en-US" w:eastAsia="zh-CN"/>
        </w:rPr>
        <w:t xml:space="preserve"> </w:t>
      </w:r>
      <w:r>
        <w:rPr>
          <w:rFonts w:hint="eastAsia" w:ascii="宋体" w:hAnsi="宋体" w:cs="宋体"/>
          <w:color w:val="000000"/>
          <w:sz w:val="30"/>
          <w:szCs w:val="30"/>
          <w:u w:val="single"/>
          <w:lang w:val="en-US" w:eastAsia="zh-CN"/>
        </w:rPr>
        <w:t>11</w:t>
      </w:r>
      <w:r>
        <w:rPr>
          <w:rFonts w:hint="eastAsia" w:ascii="宋体" w:hAnsi="宋体" w:eastAsia="宋体" w:cs="宋体"/>
          <w:color w:val="000000"/>
          <w:sz w:val="30"/>
          <w:szCs w:val="30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月第</w:t>
      </w:r>
      <w:r>
        <w:rPr>
          <w:rFonts w:hint="eastAsia" w:ascii="宋体" w:hAnsi="宋体" w:eastAsia="宋体" w:cs="宋体"/>
          <w:color w:val="000000"/>
          <w:sz w:val="30"/>
          <w:szCs w:val="30"/>
          <w:u w:val="single"/>
          <w:lang w:val="en-US" w:eastAsia="zh-CN"/>
        </w:rPr>
        <w:t xml:space="preserve"> </w:t>
      </w:r>
      <w:r>
        <w:rPr>
          <w:rFonts w:hint="eastAsia" w:ascii="宋体" w:hAnsi="宋体" w:cs="宋体"/>
          <w:color w:val="000000"/>
          <w:sz w:val="30"/>
          <w:szCs w:val="30"/>
          <w:u w:val="single"/>
          <w:lang w:val="en-US" w:eastAsia="zh-CN"/>
        </w:rPr>
        <w:t>3</w:t>
      </w:r>
      <w:r>
        <w:rPr>
          <w:rFonts w:hint="eastAsia" w:ascii="宋体" w:hAnsi="宋体" w:eastAsia="宋体" w:cs="宋体"/>
          <w:color w:val="000000"/>
          <w:sz w:val="30"/>
          <w:szCs w:val="30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期</w:t>
      </w:r>
    </w:p>
    <w:p>
      <w:pPr>
        <w:spacing w:beforeLines="50" w:afterLines="50"/>
        <w:jc w:val="center"/>
        <w:rPr>
          <w:rFonts w:hint="eastAsia" w:ascii="宋体" w:hAnsi="宋体" w:eastAsia="宋体" w:cs="宋体"/>
          <w:color w:val="000000"/>
          <w:sz w:val="30"/>
          <w:szCs w:val="30"/>
        </w:rPr>
      </w:pPr>
    </w:p>
    <w:p>
      <w:pPr>
        <w:spacing w:beforeLines="50" w:afterLines="50"/>
        <w:jc w:val="center"/>
        <w:rPr>
          <w:rFonts w:hint="eastAsia" w:ascii="宋体" w:hAnsi="宋体" w:eastAsia="宋体" w:cs="宋体"/>
          <w:color w:val="000000"/>
          <w:sz w:val="30"/>
          <w:szCs w:val="30"/>
        </w:rPr>
      </w:pPr>
    </w:p>
    <w:p>
      <w:pPr>
        <w:spacing w:beforeLines="50" w:afterLines="50"/>
        <w:ind w:firstLine="2400" w:firstLineChars="800"/>
        <w:rPr>
          <w:rFonts w:hint="eastAsia" w:ascii="宋体" w:hAnsi="宋体" w:eastAsia="宋体" w:cs="宋体"/>
          <w:color w:val="000000"/>
          <w:sz w:val="30"/>
          <w:szCs w:val="30"/>
        </w:rPr>
      </w:pPr>
      <w:r>
        <w:rPr>
          <w:rFonts w:hint="eastAsia" w:ascii="宋体" w:hAnsi="宋体" w:eastAsia="宋体" w:cs="宋体"/>
          <w:color w:val="000000"/>
          <w:sz w:val="30"/>
          <w:szCs w:val="30"/>
        </w:rPr>
        <w:t>项目监理部（章）：</w:t>
      </w:r>
    </w:p>
    <w:p>
      <w:pPr>
        <w:spacing w:beforeLines="150" w:afterLines="150"/>
        <w:ind w:firstLine="2850" w:firstLineChars="950"/>
        <w:rPr>
          <w:rFonts w:hint="eastAsia" w:ascii="宋体" w:hAnsi="宋体" w:eastAsia="宋体" w:cs="宋体"/>
          <w:color w:val="000000"/>
          <w:sz w:val="30"/>
          <w:szCs w:val="30"/>
        </w:rPr>
      </w:pPr>
      <w:r>
        <w:rPr>
          <w:rFonts w:hint="eastAsia" w:ascii="宋体" w:hAnsi="宋体" w:eastAsia="宋体" w:cs="宋体"/>
          <w:color w:val="000000"/>
          <w:sz w:val="30"/>
          <w:szCs w:val="30"/>
        </w:rPr>
        <w:t>总监理工程师：</w:t>
      </w:r>
    </w:p>
    <w:p>
      <w:pPr>
        <w:rPr>
          <w:rFonts w:hint="eastAsia" w:ascii="宋体" w:hAnsi="宋体" w:eastAsia="宋体" w:cs="宋体"/>
          <w:color w:val="000000"/>
          <w:sz w:val="30"/>
          <w:szCs w:val="30"/>
        </w:rPr>
      </w:pPr>
    </w:p>
    <w:p>
      <w:pPr>
        <w:jc w:val="center"/>
        <w:rPr>
          <w:rFonts w:hint="eastAsia" w:ascii="宋体" w:hAnsi="宋体" w:eastAsia="宋体" w:cs="宋体"/>
          <w:color w:val="000000"/>
          <w:sz w:val="30"/>
          <w:szCs w:val="30"/>
        </w:rPr>
      </w:pPr>
      <w:r>
        <w:rPr>
          <w:rFonts w:hint="eastAsia" w:ascii="宋体" w:hAnsi="宋体" w:eastAsia="宋体" w:cs="宋体"/>
          <w:color w:val="000000"/>
          <w:sz w:val="30"/>
          <w:szCs w:val="30"/>
        </w:rPr>
        <w:t>报告日期：201</w:t>
      </w:r>
      <w:r>
        <w:rPr>
          <w:rFonts w:hint="eastAsia" w:ascii="宋体" w:hAnsi="宋体" w:eastAsia="宋体" w:cs="宋体"/>
          <w:color w:val="000000"/>
          <w:sz w:val="30"/>
          <w:szCs w:val="30"/>
          <w:lang w:val="en-US" w:eastAsia="zh-CN"/>
        </w:rPr>
        <w:t>6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年</w:t>
      </w:r>
      <w:r>
        <w:rPr>
          <w:rFonts w:hint="eastAsia" w:ascii="宋体" w:hAnsi="宋体" w:cs="宋体"/>
          <w:color w:val="000000"/>
          <w:sz w:val="30"/>
          <w:szCs w:val="30"/>
          <w:lang w:val="en-US" w:eastAsia="zh-CN"/>
        </w:rPr>
        <w:t>11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月3</w:t>
      </w:r>
      <w:r>
        <w:rPr>
          <w:rFonts w:hint="eastAsia" w:ascii="宋体" w:hAnsi="宋体" w:cs="宋体"/>
          <w:color w:val="000000"/>
          <w:sz w:val="30"/>
          <w:szCs w:val="30"/>
          <w:lang w:val="en-US" w:eastAsia="zh-CN"/>
        </w:rPr>
        <w:t>0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日</w:t>
      </w:r>
    </w:p>
    <w:p>
      <w:pPr>
        <w:widowControl/>
        <w:jc w:val="center"/>
        <w:rPr>
          <w:rFonts w:hint="eastAsia" w:ascii="宋体" w:hAnsi="宋体" w:eastAsia="宋体" w:cs="宋体"/>
          <w:color w:val="000000"/>
          <w:sz w:val="30"/>
          <w:szCs w:val="30"/>
        </w:rPr>
      </w:pPr>
    </w:p>
    <w:p>
      <w:pPr>
        <w:widowControl/>
        <w:jc w:val="center"/>
        <w:rPr>
          <w:color w:val="000000"/>
          <w:sz w:val="30"/>
          <w:szCs w:val="30"/>
        </w:rPr>
      </w:pPr>
      <w:r>
        <w:rPr>
          <w:rFonts w:hint="eastAsia" w:ascii="宋体" w:hAnsi="宋体" w:eastAsia="宋体" w:cs="宋体"/>
          <w:color w:val="000000"/>
          <w:sz w:val="30"/>
          <w:szCs w:val="30"/>
        </w:rPr>
        <w:t>常州正衡电力工程监理有限公司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br w:type="page"/>
      </w:r>
    </w:p>
    <w:p>
      <w:pPr>
        <w:jc w:val="center"/>
        <w:rPr>
          <w:rFonts w:hint="eastAsia" w:ascii="宋体" w:hAnsi="宋体" w:eastAsia="宋体" w:cs="宋体"/>
          <w:color w:val="000000"/>
          <w:sz w:val="36"/>
          <w:szCs w:val="36"/>
        </w:rPr>
      </w:pPr>
      <w:r>
        <w:rPr>
          <w:rFonts w:hint="eastAsia" w:ascii="宋体" w:hAnsi="宋体" w:eastAsia="宋体" w:cs="宋体"/>
          <w:color w:val="000000"/>
          <w:sz w:val="36"/>
          <w:szCs w:val="36"/>
        </w:rPr>
        <w:t>监理月报</w:t>
      </w:r>
    </w:p>
    <w:p>
      <w:pPr>
        <w:spacing w:line="360" w:lineRule="auto"/>
        <w:ind w:left="180" w:hanging="180" w:hangingChars="100"/>
        <w:jc w:val="lef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工程名称：</w:t>
      </w:r>
      <w:r>
        <w:rPr>
          <w:rFonts w:hint="eastAsia" w:ascii="宋体" w:hAnsi="宋体" w:cs="宋体"/>
          <w:color w:val="000000"/>
          <w:sz w:val="24"/>
          <w:szCs w:val="24"/>
          <w:lang w:eastAsia="zh-CN"/>
        </w:rPr>
        <w:t>烟台大展纸业</w:t>
      </w: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>3.22MWp屋顶分布式光伏发电项目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</w:p>
    <w:p>
      <w:pPr>
        <w:spacing w:line="360" w:lineRule="auto"/>
        <w:ind w:left="180" w:hanging="180" w:hangingChars="100"/>
        <w:jc w:val="left"/>
        <w:rPr>
          <w:rFonts w:hint="eastAsia" w:ascii="宋体" w:hAnsi="宋体" w:eastAsia="宋体" w:cs="宋体"/>
          <w:color w:val="000000"/>
          <w:sz w:val="24"/>
          <w:szCs w:val="24"/>
          <w:u w:val="single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第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  <w:lang w:val="en-US" w:eastAsia="zh-CN"/>
        </w:rPr>
        <w:t xml:space="preserve"> 1 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次月报开始时间：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 xml:space="preserve"> 201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  <w:lang w:val="en-US" w:eastAsia="zh-CN"/>
        </w:rPr>
        <w:t>6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年</w:t>
      </w:r>
      <w:r>
        <w:rPr>
          <w:rFonts w:hint="eastAsia" w:ascii="宋体" w:hAnsi="宋体" w:cs="宋体"/>
          <w:color w:val="000000"/>
          <w:sz w:val="24"/>
          <w:szCs w:val="24"/>
          <w:u w:val="single"/>
          <w:lang w:val="en-US" w:eastAsia="zh-CN"/>
        </w:rPr>
        <w:t>11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月1日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结束日期：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 xml:space="preserve"> 201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  <w:lang w:val="en-US" w:eastAsia="zh-CN"/>
        </w:rPr>
        <w:t>6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年</w:t>
      </w:r>
      <w:r>
        <w:rPr>
          <w:rFonts w:hint="eastAsia" w:ascii="宋体" w:hAnsi="宋体" w:cs="宋体"/>
          <w:color w:val="000000"/>
          <w:sz w:val="24"/>
          <w:szCs w:val="24"/>
          <w:u w:val="single"/>
          <w:lang w:val="en-US" w:eastAsia="zh-CN"/>
        </w:rPr>
        <w:t>11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月3</w:t>
      </w:r>
      <w:r>
        <w:rPr>
          <w:rFonts w:hint="eastAsia" w:ascii="宋体" w:hAnsi="宋体" w:cs="宋体"/>
          <w:color w:val="000000"/>
          <w:sz w:val="24"/>
          <w:szCs w:val="24"/>
          <w:u w:val="single"/>
          <w:lang w:val="en-US" w:eastAsia="zh-CN"/>
        </w:rPr>
        <w:t>0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日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  <w:lang w:val="en-US" w:eastAsia="zh-CN"/>
        </w:rPr>
        <w:t xml:space="preserve"> </w:t>
      </w:r>
    </w:p>
    <w:p>
      <w:pPr>
        <w:spacing w:line="360" w:lineRule="auto"/>
        <w:ind w:left="180" w:hanging="180" w:hangingChars="100"/>
        <w:jc w:val="left"/>
        <w:rPr>
          <w:rFonts w:hint="eastAsia" w:ascii="宋体" w:hAnsi="宋体" w:eastAsia="宋体" w:cs="宋体"/>
          <w:color w:val="000000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监理单位：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常州正衡电力工程监理有限公司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  <w:lang w:val="en-US" w:eastAsia="zh-CN"/>
        </w:rPr>
        <w:t xml:space="preserve"> </w:t>
      </w:r>
    </w:p>
    <w:p>
      <w:pPr>
        <w:spacing w:line="360" w:lineRule="auto"/>
        <w:ind w:left="180" w:hanging="180" w:hangingChars="100"/>
        <w:jc w:val="left"/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 xml:space="preserve"> 一、工程影像资料</w:t>
      </w:r>
    </w:p>
    <w:tbl>
      <w:tblPr>
        <w:tblStyle w:val="7"/>
        <w:tblW w:w="9150" w:type="dxa"/>
        <w:tblInd w:w="10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1"/>
        <w:gridCol w:w="2932"/>
        <w:gridCol w:w="1568"/>
        <w:gridCol w:w="1336"/>
        <w:gridCol w:w="1336"/>
        <w:gridCol w:w="13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1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序号</w:t>
            </w:r>
          </w:p>
        </w:tc>
        <w:tc>
          <w:tcPr>
            <w:tcW w:w="2932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单位工程标准名称</w:t>
            </w:r>
          </w:p>
        </w:tc>
        <w:tc>
          <w:tcPr>
            <w:tcW w:w="156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施工项目名称</w:t>
            </w:r>
          </w:p>
        </w:tc>
        <w:tc>
          <w:tcPr>
            <w:tcW w:w="133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资料类型</w:t>
            </w:r>
          </w:p>
        </w:tc>
        <w:tc>
          <w:tcPr>
            <w:tcW w:w="133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资料数量</w:t>
            </w:r>
          </w:p>
        </w:tc>
        <w:tc>
          <w:tcPr>
            <w:tcW w:w="133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1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1</w:t>
            </w:r>
          </w:p>
        </w:tc>
        <w:tc>
          <w:tcPr>
            <w:tcW w:w="29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烟台大展纸业3.22</w:t>
            </w:r>
            <w:bookmarkStart w:id="0" w:name="_GoBack"/>
            <w:bookmarkEnd w:id="0"/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MWp屋顶分布式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光伏发电项目</w:t>
            </w:r>
          </w:p>
        </w:tc>
        <w:tc>
          <w:tcPr>
            <w:tcW w:w="156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33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影像</w:t>
            </w:r>
          </w:p>
        </w:tc>
        <w:tc>
          <w:tcPr>
            <w:tcW w:w="133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详见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EPCM</w:t>
            </w:r>
          </w:p>
        </w:tc>
        <w:tc>
          <w:tcPr>
            <w:tcW w:w="133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</w:tbl>
    <w:p>
      <w:pPr>
        <w:pStyle w:val="8"/>
        <w:numPr>
          <w:ilvl w:val="0"/>
          <w:numId w:val="0"/>
        </w:numPr>
        <w:spacing w:beforeLines="50" w:afterLines="50" w:line="240" w:lineRule="auto"/>
        <w:ind w:leftChars="-170"/>
        <w:jc w:val="left"/>
        <w:rPr>
          <w:rFonts w:hint="eastAsia" w:ascii="宋体" w:hAnsi="宋体" w:eastAsia="宋体" w:cs="宋体"/>
          <w:color w:val="000000"/>
          <w:sz w:val="30"/>
          <w:szCs w:val="30"/>
        </w:rPr>
      </w:pPr>
      <w:r>
        <w:rPr>
          <w:rFonts w:hint="eastAsia" w:ascii="宋体" w:hAnsi="宋体" w:eastAsia="宋体" w:cs="宋体"/>
          <w:color w:val="000000"/>
          <w:sz w:val="30"/>
          <w:szCs w:val="30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 xml:space="preserve"> 二、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监理重点工作情况</w:t>
      </w:r>
    </w:p>
    <w:tbl>
      <w:tblPr>
        <w:tblStyle w:val="7"/>
        <w:tblW w:w="9150" w:type="dxa"/>
        <w:tblInd w:w="10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9"/>
        <w:gridCol w:w="4820"/>
        <w:gridCol w:w="2114"/>
        <w:gridCol w:w="16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53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  <w:lang w:eastAsia="zh-CN"/>
              </w:rPr>
              <w:t>专</w:t>
            </w:r>
            <w:r>
              <w:rPr>
                <w:rFonts w:hint="eastAsia" w:ascii="宋体" w:hAnsi="宋体" w:eastAsia="宋体" w:cs="宋体"/>
                <w:color w:val="000000"/>
                <w:szCs w:val="18"/>
              </w:rPr>
              <w:t>业</w:t>
            </w: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事</w:t>
            </w:r>
            <w:r>
              <w:rPr>
                <w:rFonts w:hint="eastAsia" w:ascii="宋体" w:hAnsi="宋体" w:eastAsia="宋体" w:cs="宋体"/>
                <w:color w:val="000000"/>
                <w:szCs w:val="18"/>
                <w:lang w:val="en-US" w:eastAsia="zh-CN"/>
              </w:rPr>
              <w:t xml:space="preserve">       </w:t>
            </w:r>
            <w:r>
              <w:rPr>
                <w:rFonts w:hint="eastAsia" w:ascii="宋体" w:hAnsi="宋体" w:eastAsia="宋体" w:cs="宋体"/>
                <w:color w:val="000000"/>
                <w:szCs w:val="18"/>
              </w:rPr>
              <w:t>项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本月重点工作情况</w:t>
            </w:r>
          </w:p>
        </w:tc>
        <w:tc>
          <w:tcPr>
            <w:tcW w:w="1677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1" w:hRule="atLeast"/>
        </w:trPr>
        <w:tc>
          <w:tcPr>
            <w:tcW w:w="539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进度</w:t>
            </w: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FF000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  <w:drawing>
                <wp:inline distT="0" distB="0" distL="114300" distR="114300">
                  <wp:extent cx="2520315" cy="1800225"/>
                  <wp:effectExtent l="0" t="0" r="13335" b="9525"/>
                  <wp:docPr id="2" name="图片 4" descr="C:\Users\Administrator\Desktop\IMG_3789.JPGIMG_378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4" descr="C:\Users\Administrator\Desktop\IMG_3789.JPGIMG_3789"/>
                          <pic:cNvPicPr/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0315" cy="1800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FF000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  <w:drawing>
                <wp:inline distT="0" distB="0" distL="114300" distR="114300">
                  <wp:extent cx="2520315" cy="1799590"/>
                  <wp:effectExtent l="0" t="0" r="13335" b="10160"/>
                  <wp:docPr id="1" name="图片 2" descr="C:\Users\Administrator\Desktop\IMG_5144.JPGIMG_514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" descr="C:\Users\Administrator\Desktop\IMG_5144.JPGIMG_5144"/>
                          <pic:cNvPicPr/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0315" cy="17995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由于各方面不确定因素，导致组件供货滞后，截止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本月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组件安装完成70%；一、二次设备安装、调试全部完成；光伏区电缆敷设全部完成；箱变安装及调试完成100%；汇流箱、逆变器全部安装完成；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下月预计剩余组件全部安装完成；站用电通电；系统联调；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并网接入。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设备交付进度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本月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部分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光伏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组件供货滞后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组件供货跟踪推进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设计交付进度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电缆敷设图纸交付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；光伏区支架、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组件安装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图纸交付。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质量体系运作情况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质量体系健全，运行良好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落实质量保证体系，并对运行情况进行检查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施工图会审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设计交底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方案审查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施工单位案、措施已制定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督促施工单位报审其他资料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技术交底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监理项目部主持召开第二次设计交底会议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设计变更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安全</w:t>
            </w:r>
          </w:p>
        </w:tc>
        <w:tc>
          <w:tcPr>
            <w:tcW w:w="4820" w:type="dxa"/>
            <w:vAlign w:val="center"/>
          </w:tcPr>
          <w:p>
            <w:pPr>
              <w:tabs>
                <w:tab w:val="left" w:pos="990"/>
              </w:tabs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安全培训情况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每日施工人员进场前进行班前教育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督促施工单位对进场员工进行安全教育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安全交底情况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督促施工单位对危险作业点进行班前交底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继续督促施工单位进行班前交底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安全措施落实情况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落实不彻底，已要求施工单位认真落实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监督施工单位认真落实安全措施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安全文明施工情况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现场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文明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、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安全施工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措施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实施到位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加强现场安全管理力度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质量</w:t>
            </w: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主要工序质量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对屋顶夹具、导轨安装进行巡检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对组件安装进行全天旁站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主要原材料质量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夹具、导轨、电缆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符合要求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对主要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设备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进行开箱检查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构（配）件质量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进场材料质量合格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把控好进场材料质量关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设备质量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符合要求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进行报验、开箱检查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质量验评情况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工序施工符合要求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加强过程检查力度，加大工序报验抽查力度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投资</w:t>
            </w: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资金情况</w:t>
            </w:r>
          </w:p>
        </w:tc>
        <w:tc>
          <w:tcPr>
            <w:tcW w:w="2114" w:type="dxa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/</w:t>
            </w:r>
          </w:p>
        </w:tc>
        <w:tc>
          <w:tcPr>
            <w:tcW w:w="1677" w:type="dxa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款项支付情况</w:t>
            </w:r>
          </w:p>
        </w:tc>
        <w:tc>
          <w:tcPr>
            <w:tcW w:w="2114" w:type="dxa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本月无资金批复</w:t>
            </w:r>
          </w:p>
        </w:tc>
        <w:tc>
          <w:tcPr>
            <w:tcW w:w="1677" w:type="dxa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预算外签证</w:t>
            </w:r>
          </w:p>
        </w:tc>
        <w:tc>
          <w:tcPr>
            <w:tcW w:w="2114" w:type="dxa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无</w:t>
            </w:r>
          </w:p>
        </w:tc>
        <w:tc>
          <w:tcPr>
            <w:tcW w:w="1677" w:type="dxa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合同</w:t>
            </w: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合同签订情况</w:t>
            </w:r>
          </w:p>
        </w:tc>
        <w:tc>
          <w:tcPr>
            <w:tcW w:w="2114" w:type="dxa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施工合同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已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签订</w:t>
            </w:r>
          </w:p>
        </w:tc>
        <w:tc>
          <w:tcPr>
            <w:tcW w:w="1677" w:type="dxa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合同执行情况</w:t>
            </w:r>
          </w:p>
        </w:tc>
        <w:tc>
          <w:tcPr>
            <w:tcW w:w="2114" w:type="dxa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按合同执行</w:t>
            </w:r>
          </w:p>
        </w:tc>
        <w:tc>
          <w:tcPr>
            <w:tcW w:w="1677" w:type="dxa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做好合同执行工作</w:t>
            </w:r>
          </w:p>
        </w:tc>
      </w:tr>
    </w:tbl>
    <w:p>
      <w:pPr>
        <w:pStyle w:val="8"/>
        <w:numPr>
          <w:ilvl w:val="0"/>
          <w:numId w:val="0"/>
        </w:numPr>
        <w:spacing w:beforeLines="50" w:afterLines="50" w:line="360" w:lineRule="auto"/>
        <w:ind w:leftChars="-170"/>
        <w:jc w:val="lef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 xml:space="preserve">   三、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本月进度情况</w:t>
      </w:r>
    </w:p>
    <w:tbl>
      <w:tblPr>
        <w:tblStyle w:val="7"/>
        <w:tblW w:w="9147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8"/>
        <w:gridCol w:w="1255"/>
        <w:gridCol w:w="1554"/>
        <w:gridCol w:w="1527"/>
        <w:gridCol w:w="1514"/>
        <w:gridCol w:w="1445"/>
        <w:gridCol w:w="13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序号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任务名称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计划开始时间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计划结束时间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施工开始日期</w:t>
            </w:r>
          </w:p>
        </w:tc>
        <w:tc>
          <w:tcPr>
            <w:tcW w:w="14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本月实际完成（完成量/总量）</w:t>
            </w: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累计完成（完成量/总量）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1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箱变基础施工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2016.10.17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2016.9.30</w:t>
            </w:r>
          </w:p>
        </w:tc>
        <w:tc>
          <w:tcPr>
            <w:tcW w:w="14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厂房加固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2016.10.26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2016.10.2</w:t>
            </w:r>
          </w:p>
        </w:tc>
        <w:tc>
          <w:tcPr>
            <w:tcW w:w="14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3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支架安装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17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2016.10.20</w:t>
            </w:r>
          </w:p>
        </w:tc>
        <w:tc>
          <w:tcPr>
            <w:tcW w:w="14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" w:hRule="atLeast"/>
        </w:trPr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组件安装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2016.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21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2016.11.12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2016.11.11</w:t>
            </w:r>
          </w:p>
        </w:tc>
        <w:tc>
          <w:tcPr>
            <w:tcW w:w="14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70%</w:t>
            </w: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70%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</w:trPr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光伏区电缆敷设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2016.11.14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2016.11.10</w:t>
            </w:r>
          </w:p>
        </w:tc>
        <w:tc>
          <w:tcPr>
            <w:tcW w:w="144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</w:trPr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箱变安装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2016.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11.7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.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2016.11.10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2016.11.7</w:t>
            </w:r>
          </w:p>
        </w:tc>
        <w:tc>
          <w:tcPr>
            <w:tcW w:w="144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钢楼梯基础及钢爬梯安装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2016.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30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2016.10.27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2016.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30</w:t>
            </w:r>
          </w:p>
        </w:tc>
        <w:tc>
          <w:tcPr>
            <w:tcW w:w="144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电气一次设备安装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2016.11.11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2016.11.6</w:t>
            </w:r>
          </w:p>
        </w:tc>
        <w:tc>
          <w:tcPr>
            <w:tcW w:w="144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9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电气二次设备安装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2016.11.10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2016.11.3</w:t>
            </w:r>
          </w:p>
        </w:tc>
        <w:tc>
          <w:tcPr>
            <w:tcW w:w="14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逆变器安装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2016.11.14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2016.11.8</w:t>
            </w:r>
          </w:p>
        </w:tc>
        <w:tc>
          <w:tcPr>
            <w:tcW w:w="14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汇流箱安装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2016.11.14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2016.11.8</w:t>
            </w:r>
          </w:p>
        </w:tc>
        <w:tc>
          <w:tcPr>
            <w:tcW w:w="14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</w:tbl>
    <w:p>
      <w:pPr>
        <w:pStyle w:val="8"/>
        <w:numPr>
          <w:ilvl w:val="0"/>
          <w:numId w:val="0"/>
        </w:numPr>
        <w:spacing w:beforeLines="50" w:afterLines="50" w:line="360" w:lineRule="auto"/>
        <w:ind w:leftChars="-170"/>
        <w:jc w:val="lef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30"/>
          <w:szCs w:val="30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 xml:space="preserve"> 四、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下月进度计划</w:t>
      </w:r>
    </w:p>
    <w:tbl>
      <w:tblPr>
        <w:tblStyle w:val="7"/>
        <w:tblW w:w="9147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8"/>
        <w:gridCol w:w="1255"/>
        <w:gridCol w:w="1963"/>
        <w:gridCol w:w="1950"/>
        <w:gridCol w:w="1759"/>
        <w:gridCol w:w="17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序号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任务名称</w:t>
            </w:r>
          </w:p>
        </w:tc>
        <w:tc>
          <w:tcPr>
            <w:tcW w:w="196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计划开始时间</w:t>
            </w: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计划结束时间</w:t>
            </w: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施工开始日期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预计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完成（完成量/总量）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支架安装</w:t>
            </w:r>
          </w:p>
        </w:tc>
        <w:tc>
          <w:tcPr>
            <w:tcW w:w="196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17</w:t>
            </w: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2016.11.3</w:t>
            </w: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2016.10.20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" w:hRule="atLeast"/>
        </w:trPr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组件安装</w:t>
            </w:r>
          </w:p>
        </w:tc>
        <w:tc>
          <w:tcPr>
            <w:tcW w:w="196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2016.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21</w:t>
            </w: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2016.11.12</w:t>
            </w: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2016.11.11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</w:trPr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光伏区电缆敷设</w:t>
            </w:r>
          </w:p>
        </w:tc>
        <w:tc>
          <w:tcPr>
            <w:tcW w:w="196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2016.11.14</w:t>
            </w: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</w:trPr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箱变安装</w:t>
            </w:r>
          </w:p>
        </w:tc>
        <w:tc>
          <w:tcPr>
            <w:tcW w:w="196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2016.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11.7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.</w:t>
            </w: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2016.11.10</w:t>
            </w: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2016.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11.7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.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电气一次设备安装</w:t>
            </w:r>
          </w:p>
        </w:tc>
        <w:tc>
          <w:tcPr>
            <w:tcW w:w="196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2016.11.11</w:t>
            </w: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电气二次设备安装</w:t>
            </w:r>
          </w:p>
        </w:tc>
        <w:tc>
          <w:tcPr>
            <w:tcW w:w="196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2016.11.10</w:t>
            </w: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逆变器安装</w:t>
            </w:r>
          </w:p>
        </w:tc>
        <w:tc>
          <w:tcPr>
            <w:tcW w:w="196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2016.11.14</w:t>
            </w: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汇流箱安装</w:t>
            </w:r>
          </w:p>
        </w:tc>
        <w:tc>
          <w:tcPr>
            <w:tcW w:w="196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2016.11.14</w:t>
            </w: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</w:tbl>
    <w:p>
      <w:pPr>
        <w:pStyle w:val="8"/>
        <w:numPr>
          <w:ilvl w:val="0"/>
          <w:numId w:val="0"/>
        </w:numPr>
        <w:spacing w:beforeLines="50" w:afterLines="50" w:line="360" w:lineRule="auto"/>
        <w:jc w:val="lef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 xml:space="preserve"> 五、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安全文明施工情况</w:t>
      </w:r>
    </w:p>
    <w:tbl>
      <w:tblPr>
        <w:tblStyle w:val="7"/>
        <w:tblW w:w="92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7"/>
        <w:gridCol w:w="1107"/>
        <w:gridCol w:w="1109"/>
        <w:gridCol w:w="1119"/>
        <w:gridCol w:w="804"/>
        <w:gridCol w:w="934"/>
        <w:gridCol w:w="934"/>
        <w:gridCol w:w="1077"/>
        <w:gridCol w:w="10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3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事故（起）</w:t>
            </w:r>
          </w:p>
        </w:tc>
        <w:tc>
          <w:tcPr>
            <w:tcW w:w="1119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编制安全策划文件（份）</w:t>
            </w:r>
          </w:p>
        </w:tc>
        <w:tc>
          <w:tcPr>
            <w:tcW w:w="804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施工人数</w:t>
            </w:r>
          </w:p>
        </w:tc>
        <w:tc>
          <w:tcPr>
            <w:tcW w:w="4009" w:type="dxa"/>
            <w:gridSpan w:val="4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安全分包情况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人身重伤</w:t>
            </w:r>
          </w:p>
        </w:tc>
        <w:tc>
          <w:tcPr>
            <w:tcW w:w="110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机械设备</w:t>
            </w:r>
          </w:p>
        </w:tc>
        <w:tc>
          <w:tcPr>
            <w:tcW w:w="11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电网事故</w:t>
            </w:r>
          </w:p>
        </w:tc>
        <w:tc>
          <w:tcPr>
            <w:tcW w:w="1119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</w:p>
        </w:tc>
        <w:tc>
          <w:tcPr>
            <w:tcW w:w="80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</w:p>
        </w:tc>
        <w:tc>
          <w:tcPr>
            <w:tcW w:w="93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分包队伍数量</w:t>
            </w:r>
          </w:p>
        </w:tc>
        <w:tc>
          <w:tcPr>
            <w:tcW w:w="93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分包队伍人数</w:t>
            </w:r>
          </w:p>
        </w:tc>
        <w:tc>
          <w:tcPr>
            <w:tcW w:w="107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系统外包队伍数量</w:t>
            </w:r>
          </w:p>
        </w:tc>
        <w:tc>
          <w:tcPr>
            <w:tcW w:w="106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系统外队伍人数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无</w:t>
            </w: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无</w:t>
            </w:r>
          </w:p>
        </w:tc>
        <w:tc>
          <w:tcPr>
            <w:tcW w:w="110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无</w:t>
            </w:r>
          </w:p>
        </w:tc>
        <w:tc>
          <w:tcPr>
            <w:tcW w:w="111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80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93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无</w:t>
            </w:r>
          </w:p>
        </w:tc>
        <w:tc>
          <w:tcPr>
            <w:tcW w:w="93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／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／</w:t>
            </w:r>
          </w:p>
        </w:tc>
        <w:tc>
          <w:tcPr>
            <w:tcW w:w="10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／</w:t>
            </w:r>
          </w:p>
        </w:tc>
      </w:tr>
    </w:tbl>
    <w:p>
      <w:pPr>
        <w:spacing w:line="360" w:lineRule="auto"/>
        <w:ind w:left="180" w:hanging="180" w:hangingChars="100"/>
        <w:jc w:val="left"/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 xml:space="preserve">      </w:t>
      </w:r>
    </w:p>
    <w:p>
      <w:pPr>
        <w:spacing w:line="360" w:lineRule="auto"/>
        <w:ind w:left="180" w:hanging="180" w:hangingChars="100"/>
        <w:jc w:val="left"/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</w:pPr>
    </w:p>
    <w:p>
      <w:pPr>
        <w:spacing w:line="360" w:lineRule="auto"/>
        <w:ind w:left="180" w:hanging="180" w:hangingChars="100"/>
        <w:jc w:val="left"/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</w:pPr>
    </w:p>
    <w:p>
      <w:pPr>
        <w:spacing w:line="360" w:lineRule="auto"/>
        <w:ind w:left="180" w:hanging="180" w:hangingChars="100"/>
        <w:jc w:val="left"/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</w:pPr>
    </w:p>
    <w:p>
      <w:pPr>
        <w:spacing w:line="360" w:lineRule="auto"/>
        <w:ind w:left="180" w:hanging="180" w:hangingChars="100"/>
        <w:jc w:val="left"/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</w:pPr>
    </w:p>
    <w:p>
      <w:pPr>
        <w:spacing w:line="240" w:lineRule="auto"/>
        <w:ind w:left="180" w:hanging="180" w:hangingChars="100"/>
        <w:jc w:val="left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 xml:space="preserve">              </w:t>
      </w:r>
      <w:r>
        <w:rPr>
          <w:rFonts w:hint="eastAsia" w:ascii="宋体" w:hAnsi="宋体" w:cs="宋体"/>
          <w:color w:val="000000"/>
          <w:sz w:val="28"/>
          <w:szCs w:val="28"/>
          <w:lang w:val="en-US" w:eastAsia="zh-CN"/>
        </w:rPr>
        <w:t xml:space="preserve">                         </w:t>
      </w:r>
      <w:r>
        <w:rPr>
          <w:rFonts w:hint="eastAsia" w:ascii="宋体" w:hAnsi="宋体" w:cs="宋体"/>
          <w:color w:val="000000"/>
          <w:sz w:val="28"/>
          <w:szCs w:val="28"/>
          <w:lang w:eastAsia="zh-CN"/>
        </w:rPr>
        <w:t>烟台大展</w:t>
      </w:r>
      <w:r>
        <w:rPr>
          <w:rFonts w:hint="eastAsia" w:ascii="宋体" w:hAnsi="宋体" w:cs="宋体"/>
          <w:color w:val="000000"/>
          <w:sz w:val="28"/>
          <w:szCs w:val="28"/>
          <w:lang w:val="en-US" w:eastAsia="zh-CN"/>
        </w:rPr>
        <w:t>监理项目部</w:t>
      </w:r>
    </w:p>
    <w:p>
      <w:pPr>
        <w:spacing w:line="240" w:lineRule="auto"/>
        <w:ind w:left="180" w:hanging="180" w:hangingChars="100"/>
        <w:jc w:val="left"/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 xml:space="preserve">                                        2016年</w:t>
      </w:r>
      <w:r>
        <w:rPr>
          <w:rFonts w:hint="eastAsia" w:ascii="宋体" w:hAnsi="宋体" w:cs="宋体"/>
          <w:color w:val="000000"/>
          <w:sz w:val="28"/>
          <w:szCs w:val="28"/>
          <w:lang w:val="en-US" w:eastAsia="zh-CN"/>
        </w:rPr>
        <w:t>11</w:t>
      </w: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>月3</w:t>
      </w:r>
      <w:r>
        <w:rPr>
          <w:rFonts w:hint="eastAsia" w:ascii="宋体" w:hAnsi="宋体" w:cs="宋体"/>
          <w:color w:val="000000"/>
          <w:sz w:val="28"/>
          <w:szCs w:val="28"/>
          <w:lang w:val="en-US" w:eastAsia="zh-CN"/>
        </w:rPr>
        <w:t>0</w:t>
      </w: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>日</w:t>
      </w:r>
    </w:p>
    <w:sectPr>
      <w:headerReference r:id="rId3" w:type="default"/>
      <w:footerReference r:id="rId5" w:type="default"/>
      <w:headerReference r:id="rId4" w:type="even"/>
      <w:pgSz w:w="11906" w:h="16838"/>
      <w:pgMar w:top="1440" w:right="1797" w:bottom="1440" w:left="1797" w:header="851" w:footer="992" w:gutter="0"/>
      <w:pgNumType w:start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Gautami">
    <w:panose1 w:val="020B0502040204020203"/>
    <w:charset w:val="00"/>
    <w:family w:val="auto"/>
    <w:pitch w:val="default"/>
    <w:sig w:usb0="002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6</w:t>
    </w:r>
    <w:r>
      <w:fldChar w:fldCharType="end"/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914097"/>
    <w:rsid w:val="00011723"/>
    <w:rsid w:val="00015664"/>
    <w:rsid w:val="000638E5"/>
    <w:rsid w:val="00077CC1"/>
    <w:rsid w:val="00097764"/>
    <w:rsid w:val="00141B91"/>
    <w:rsid w:val="00144C26"/>
    <w:rsid w:val="00155D85"/>
    <w:rsid w:val="001B2FB0"/>
    <w:rsid w:val="00236CF4"/>
    <w:rsid w:val="00285532"/>
    <w:rsid w:val="00332B2F"/>
    <w:rsid w:val="00392D99"/>
    <w:rsid w:val="003A5A33"/>
    <w:rsid w:val="003A5D2F"/>
    <w:rsid w:val="003A7D5D"/>
    <w:rsid w:val="003F2278"/>
    <w:rsid w:val="00471426"/>
    <w:rsid w:val="00502559"/>
    <w:rsid w:val="00610000"/>
    <w:rsid w:val="0062117D"/>
    <w:rsid w:val="00624B5B"/>
    <w:rsid w:val="0067025E"/>
    <w:rsid w:val="006E220E"/>
    <w:rsid w:val="00786402"/>
    <w:rsid w:val="007B13BB"/>
    <w:rsid w:val="007C51F9"/>
    <w:rsid w:val="00812E5F"/>
    <w:rsid w:val="00820905"/>
    <w:rsid w:val="00890A11"/>
    <w:rsid w:val="008960B9"/>
    <w:rsid w:val="008C0DBB"/>
    <w:rsid w:val="00914097"/>
    <w:rsid w:val="00940405"/>
    <w:rsid w:val="00940639"/>
    <w:rsid w:val="00965F0E"/>
    <w:rsid w:val="00972AE9"/>
    <w:rsid w:val="00982770"/>
    <w:rsid w:val="009D775B"/>
    <w:rsid w:val="009F1FCB"/>
    <w:rsid w:val="00A54B17"/>
    <w:rsid w:val="00A7236B"/>
    <w:rsid w:val="00A90E54"/>
    <w:rsid w:val="00AA2FFC"/>
    <w:rsid w:val="00AD701C"/>
    <w:rsid w:val="00B04F94"/>
    <w:rsid w:val="00B327D6"/>
    <w:rsid w:val="00B41BAE"/>
    <w:rsid w:val="00B86917"/>
    <w:rsid w:val="00BD6F84"/>
    <w:rsid w:val="00BD7F3D"/>
    <w:rsid w:val="00CA6B9A"/>
    <w:rsid w:val="00CB0F9B"/>
    <w:rsid w:val="00CC440B"/>
    <w:rsid w:val="00D858ED"/>
    <w:rsid w:val="00DC684A"/>
    <w:rsid w:val="00E94C7A"/>
    <w:rsid w:val="00EB1CD3"/>
    <w:rsid w:val="00EF2170"/>
    <w:rsid w:val="00F12920"/>
    <w:rsid w:val="00F20C3B"/>
    <w:rsid w:val="00F542B5"/>
    <w:rsid w:val="00F7297C"/>
    <w:rsid w:val="00F85F8E"/>
    <w:rsid w:val="00FD4BE9"/>
    <w:rsid w:val="01263353"/>
    <w:rsid w:val="01277054"/>
    <w:rsid w:val="01FD1DFC"/>
    <w:rsid w:val="0D262503"/>
    <w:rsid w:val="108C45AB"/>
    <w:rsid w:val="11165071"/>
    <w:rsid w:val="13360B55"/>
    <w:rsid w:val="17AD0097"/>
    <w:rsid w:val="17B0596B"/>
    <w:rsid w:val="18BE11A5"/>
    <w:rsid w:val="1A000B0A"/>
    <w:rsid w:val="1AA9714B"/>
    <w:rsid w:val="1BC75AED"/>
    <w:rsid w:val="1C3D39C5"/>
    <w:rsid w:val="23AC76BA"/>
    <w:rsid w:val="26F33286"/>
    <w:rsid w:val="2FDF35E1"/>
    <w:rsid w:val="32206DA6"/>
    <w:rsid w:val="33924D58"/>
    <w:rsid w:val="35A57AEB"/>
    <w:rsid w:val="38EA5719"/>
    <w:rsid w:val="38EE64A8"/>
    <w:rsid w:val="39704AC9"/>
    <w:rsid w:val="3A511A63"/>
    <w:rsid w:val="3BE35C9F"/>
    <w:rsid w:val="3D195F7C"/>
    <w:rsid w:val="3E1F69E6"/>
    <w:rsid w:val="3E3B0C22"/>
    <w:rsid w:val="4046024E"/>
    <w:rsid w:val="42004E45"/>
    <w:rsid w:val="433C5B7A"/>
    <w:rsid w:val="45775995"/>
    <w:rsid w:val="45BF2034"/>
    <w:rsid w:val="47303EE8"/>
    <w:rsid w:val="489776CD"/>
    <w:rsid w:val="499D3A3C"/>
    <w:rsid w:val="4B524480"/>
    <w:rsid w:val="4C251032"/>
    <w:rsid w:val="4C7B110F"/>
    <w:rsid w:val="4FBB20D1"/>
    <w:rsid w:val="51D15FCE"/>
    <w:rsid w:val="53A411AB"/>
    <w:rsid w:val="55CE773B"/>
    <w:rsid w:val="56E70278"/>
    <w:rsid w:val="58D37585"/>
    <w:rsid w:val="59635CB4"/>
    <w:rsid w:val="5FB940F2"/>
    <w:rsid w:val="62A01163"/>
    <w:rsid w:val="63005AFB"/>
    <w:rsid w:val="65374F7F"/>
    <w:rsid w:val="67AB161E"/>
    <w:rsid w:val="67DA1149"/>
    <w:rsid w:val="6B46319B"/>
    <w:rsid w:val="6B9773E4"/>
    <w:rsid w:val="6C200D25"/>
    <w:rsid w:val="6C956A2E"/>
    <w:rsid w:val="6D425E0E"/>
    <w:rsid w:val="702136F9"/>
    <w:rsid w:val="73935D0E"/>
    <w:rsid w:val="77FA2B7E"/>
    <w:rsid w:val="7DFD18EC"/>
    <w:rsid w:val="7F8D44D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iPriority="99" w:semiHidden="0" w:name="header"/>
    <w:lsdException w:qFormat="1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99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semiHidden/>
    <w:qFormat/>
    <w:uiPriority w:val="99"/>
    <w:rPr>
      <w:sz w:val="18"/>
      <w:szCs w:val="18"/>
    </w:rPr>
  </w:style>
  <w:style w:type="character" w:customStyle="1" w:styleId="10">
    <w:name w:val="页眉 Char"/>
    <w:basedOn w:val="5"/>
    <w:link w:val="4"/>
    <w:qFormat/>
    <w:uiPriority w:val="99"/>
    <w:rPr>
      <w:sz w:val="18"/>
      <w:szCs w:val="18"/>
    </w:rPr>
  </w:style>
  <w:style w:type="character" w:customStyle="1" w:styleId="11">
    <w:name w:val="页脚 Char"/>
    <w:basedOn w:val="5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jpeg"/><Relationship Id="rId8" Type="http://schemas.openxmlformats.org/officeDocument/2006/relationships/image" Target="media/image2.jpeg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4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7</Pages>
  <Words>453</Words>
  <Characters>2586</Characters>
  <Lines>21</Lines>
  <Paragraphs>6</Paragraphs>
  <ScaleCrop>false</ScaleCrop>
  <LinksUpToDate>false</LinksUpToDate>
  <CharactersWithSpaces>3033</CharactersWithSpaces>
  <Application>WPS Office_10.1.0.6028_F1E327BC-269C-435d-A152-05C5408002CA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2014-08-21T07:50:00Z</dcterms:created>
  <dc:creator>DELL-N4050</dc:creator>
  <cp:lastModifiedBy>Administrator</cp:lastModifiedBy>
  <cp:lastPrinted>2014-08-21T04:40:00Z</cp:lastPrinted>
  <dcterms:modified xsi:type="dcterms:W3CDTF">2016-12-21T11:10:57Z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