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  <w:sz w:val="24"/>
          <w:szCs w:val="24"/>
        </w:rPr>
      </w:pPr>
    </w:p>
    <w:p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编号：JL-（TCYZ）-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10</w:t>
      </w:r>
    </w:p>
    <w:p>
      <w:pPr>
        <w:spacing w:beforeLines="400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</w:rPr>
        <w:t>监  理  月  报</w:t>
      </w:r>
    </w:p>
    <w:p>
      <w:pPr>
        <w:spacing w:beforeLines="100" w:afterLines="150" w:line="480" w:lineRule="auto"/>
        <w:jc w:val="center"/>
        <w:rPr>
          <w:rFonts w:asciiTheme="minorEastAsia" w:hAnsiTheme="minorEastAsia"/>
          <w:color w:val="000000" w:themeColor="text1"/>
          <w:sz w:val="32"/>
          <w:szCs w:val="36"/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</w:rPr>
        <w:t xml:space="preserve">         </w:t>
      </w:r>
      <w:r>
        <w:rPr>
          <w:rFonts w:hint="eastAsia" w:ascii="宋体" w:hAnsi="宋体"/>
          <w:bCs/>
          <w:color w:val="000000"/>
          <w:kern w:val="21"/>
          <w:sz w:val="32"/>
          <w:szCs w:val="28"/>
        </w:rPr>
        <w:t>铜川中广新能源有限公司耀州区二期50MW农业光伏发电项目</w:t>
      </w:r>
    </w:p>
    <w:p>
      <w:pPr>
        <w:spacing w:beforeLines="50" w:afterLines="50"/>
        <w:jc w:val="center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  <w:u w:val="single"/>
        </w:rPr>
        <w:t>2017</w:t>
      </w:r>
      <w:r>
        <w:rPr>
          <w:rFonts w:hint="eastAsia"/>
          <w:color w:val="000000" w:themeColor="text1"/>
          <w:sz w:val="30"/>
          <w:szCs w:val="30"/>
        </w:rPr>
        <w:t>年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</w:rPr>
        <w:t>7</w:t>
      </w:r>
      <w:r>
        <w:rPr>
          <w:rFonts w:hint="eastAsia"/>
          <w:color w:val="000000" w:themeColor="text1"/>
          <w:sz w:val="30"/>
          <w:szCs w:val="30"/>
        </w:rPr>
        <w:t>月第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</w:rPr>
        <w:t>10</w:t>
      </w:r>
      <w:r>
        <w:rPr>
          <w:rFonts w:hint="eastAsia"/>
          <w:color w:val="000000" w:themeColor="text1"/>
          <w:sz w:val="30"/>
          <w:szCs w:val="30"/>
        </w:rPr>
        <w:t>期</w:t>
      </w:r>
    </w:p>
    <w:p>
      <w:pPr>
        <w:spacing w:beforeLines="800"/>
        <w:jc w:val="center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项目监理部（章）：</w:t>
      </w:r>
    </w:p>
    <w:p>
      <w:pPr>
        <w:spacing w:beforeLines="150" w:afterLines="150"/>
        <w:ind w:firstLine="2850" w:firstLineChars="95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总监理工程师：张英豪</w:t>
      </w:r>
    </w:p>
    <w:p>
      <w:pPr>
        <w:jc w:val="center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报告日期：2017年</w:t>
      </w:r>
      <w:r>
        <w:rPr>
          <w:rFonts w:hint="eastAsia"/>
          <w:color w:val="000000" w:themeColor="text1"/>
          <w:sz w:val="30"/>
          <w:szCs w:val="30"/>
          <w:lang w:val="en-US" w:eastAsia="zh-CN"/>
        </w:rPr>
        <w:t>7</w:t>
      </w:r>
      <w:r>
        <w:rPr>
          <w:rFonts w:hint="eastAsia"/>
          <w:color w:val="000000" w:themeColor="text1"/>
          <w:sz w:val="30"/>
          <w:szCs w:val="30"/>
        </w:rPr>
        <w:t>月30日</w:t>
      </w:r>
    </w:p>
    <w:p>
      <w:pPr>
        <w:widowControl/>
        <w:jc w:val="left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br w:type="page"/>
      </w:r>
    </w:p>
    <w:p>
      <w:pPr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监  理  月  报</w:t>
      </w:r>
    </w:p>
    <w:p>
      <w:pPr>
        <w:spacing w:beforeLines="100" w:afterLines="150" w:line="480" w:lineRule="auto"/>
        <w:rPr>
          <w:rFonts w:hint="eastAsia"/>
          <w:color w:val="000000" w:themeColor="text1"/>
          <w:sz w:val="18"/>
          <w:szCs w:val="18"/>
          <w:u w:val="single"/>
        </w:rPr>
      </w:pPr>
      <w:r>
        <w:rPr>
          <w:rFonts w:hint="eastAsia"/>
          <w:color w:val="000000" w:themeColor="text1"/>
          <w:sz w:val="18"/>
          <w:szCs w:val="18"/>
        </w:rPr>
        <w:t>工程名称：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铜川中广新能源有限公司耀州区50MW光伏发电项目  </w:t>
      </w:r>
      <w:r>
        <w:rPr>
          <w:rFonts w:hint="eastAsia"/>
          <w:color w:val="000000" w:themeColor="text1"/>
          <w:sz w:val="18"/>
          <w:szCs w:val="18"/>
        </w:rPr>
        <w:t xml:space="preserve">  月次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 第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</w:rPr>
        <w:t>10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次 </w:t>
      </w:r>
      <w:r>
        <w:rPr>
          <w:rFonts w:hint="eastAsia"/>
          <w:color w:val="000000" w:themeColor="text1"/>
          <w:sz w:val="18"/>
          <w:szCs w:val="18"/>
        </w:rPr>
        <w:t xml:space="preserve">  月报开始时间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 2016年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</w:rPr>
        <w:t>10</w:t>
      </w:r>
      <w:r>
        <w:rPr>
          <w:rFonts w:hint="eastAsia"/>
          <w:color w:val="000000" w:themeColor="text1"/>
          <w:sz w:val="18"/>
          <w:szCs w:val="18"/>
          <w:u w:val="single"/>
        </w:rPr>
        <w:t>月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</w:rPr>
        <w:t>30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日   </w:t>
      </w:r>
      <w:r>
        <w:rPr>
          <w:rFonts w:hint="eastAsia"/>
          <w:color w:val="000000" w:themeColor="text1"/>
          <w:sz w:val="18"/>
          <w:szCs w:val="18"/>
        </w:rPr>
        <w:t>结束日期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 201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</w:rPr>
        <w:t>7</w:t>
      </w:r>
      <w:r>
        <w:rPr>
          <w:rFonts w:hint="eastAsia"/>
          <w:color w:val="000000" w:themeColor="text1"/>
          <w:sz w:val="18"/>
          <w:szCs w:val="18"/>
          <w:u w:val="single"/>
        </w:rPr>
        <w:t>年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</w:rPr>
        <w:t>7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月30日 </w:t>
      </w:r>
      <w:r>
        <w:rPr>
          <w:rFonts w:hint="eastAsia"/>
          <w:color w:val="000000" w:themeColor="text1"/>
          <w:sz w:val="18"/>
          <w:szCs w:val="18"/>
        </w:rPr>
        <w:t xml:space="preserve"> 监理单位：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 常州正衡电力工程监理有限公司 </w:t>
      </w:r>
    </w:p>
    <w:p>
      <w:pPr>
        <w:spacing w:beforeLines="100" w:afterLines="150" w:line="480" w:lineRule="auto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一、工程影像资料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施工项目名称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铜川中广新能源有限公司耀州区50MW光伏发电项目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影像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22</w:t>
            </w:r>
            <w:bookmarkStart w:id="3" w:name="_GoBack"/>
            <w:bookmarkEnd w:id="3"/>
            <w:r>
              <w:rPr>
                <w:rFonts w:hint="eastAsia"/>
                <w:color w:val="000000" w:themeColor="text1"/>
                <w:sz w:val="18"/>
                <w:szCs w:val="18"/>
              </w:rPr>
              <w:t>张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Lines="50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监理重点工作情况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880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专业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事项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2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进度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18460" cy="2188845"/>
                  <wp:effectExtent l="0" t="0" r="15240" b="1905"/>
                  <wp:docPr id="24" name="图片 24" descr="IMG_4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1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18460" cy="2188845"/>
                  <wp:effectExtent l="0" t="0" r="15240" b="1905"/>
                  <wp:docPr id="23" name="图片 23" descr="IMG_4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0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18460" cy="2188845"/>
                  <wp:effectExtent l="0" t="0" r="15240" b="1905"/>
                  <wp:docPr id="22" name="图片 22" descr="IMG_4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0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18460" cy="2188845"/>
                  <wp:effectExtent l="0" t="0" r="15240" b="1905"/>
                  <wp:docPr id="21" name="图片 21" descr="IMG_4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0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18460" cy="2188845"/>
                  <wp:effectExtent l="0" t="0" r="15240" b="1905"/>
                  <wp:docPr id="20" name="图片 20" descr="IMG_4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0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18460" cy="2188845"/>
                  <wp:effectExtent l="0" t="0" r="15240" b="1905"/>
                  <wp:docPr id="19" name="图片 19" descr="IMG_4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0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18460" cy="2188845"/>
                  <wp:effectExtent l="0" t="0" r="15240" b="1905"/>
                  <wp:docPr id="18" name="图片 18" descr="IMG_4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0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18460" cy="2188845"/>
                  <wp:effectExtent l="0" t="0" r="15240" b="1905"/>
                  <wp:docPr id="17" name="图片 17" descr="IMG_4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07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50845" cy="2209800"/>
                  <wp:effectExtent l="0" t="0" r="1905" b="0"/>
                  <wp:docPr id="16" name="图片 16" descr="F7E004BFE9D32732B1EF47F051212F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7E004BFE9D32732B1EF47F051212FC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845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60370" cy="2221230"/>
                  <wp:effectExtent l="0" t="0" r="11430" b="7620"/>
                  <wp:docPr id="15" name="图片 15" descr="7646977A4B21DA939F7B5EBA356DD0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646977A4B21DA939F7B5EBA356DD0A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370" cy="222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60370" cy="2221230"/>
                  <wp:effectExtent l="0" t="0" r="11430" b="7620"/>
                  <wp:docPr id="14" name="图片 14" descr="3E214ACD68D3EF8104D8470A3C9D0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E214ACD68D3EF8104D8470A3C9D077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370" cy="222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18460" cy="2188845"/>
                  <wp:effectExtent l="0" t="0" r="15240" b="1905"/>
                  <wp:docPr id="13" name="图片 13" descr="IMG_4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20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50210" cy="2212340"/>
                  <wp:effectExtent l="0" t="0" r="2540" b="16510"/>
                  <wp:docPr id="12" name="图片 12" descr="IMG_4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20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18460" cy="2188845"/>
                  <wp:effectExtent l="0" t="0" r="15240" b="1905"/>
                  <wp:docPr id="11" name="图片 11" descr="IMG_4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19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18460" cy="2188845"/>
                  <wp:effectExtent l="0" t="0" r="15240" b="1905"/>
                  <wp:docPr id="10" name="图片 10" descr="IMG_4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19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18460" cy="2188845"/>
                  <wp:effectExtent l="0" t="0" r="15240" b="1905"/>
                  <wp:docPr id="9" name="图片 9" descr="IMG_4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18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18460" cy="2188845"/>
                  <wp:effectExtent l="0" t="0" r="15240" b="1905"/>
                  <wp:docPr id="8" name="图片 8" descr="IMG_4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17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18460" cy="2188845"/>
                  <wp:effectExtent l="0" t="0" r="15240" b="1905"/>
                  <wp:docPr id="7" name="图片 7" descr="IMG_4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1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18460" cy="2188845"/>
                  <wp:effectExtent l="0" t="0" r="15240" b="1905"/>
                  <wp:docPr id="6" name="图片 6" descr="IMG_4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15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18460" cy="2188845"/>
                  <wp:effectExtent l="0" t="0" r="15240" b="1905"/>
                  <wp:docPr id="4" name="图片 4" descr="IMG_4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14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18460" cy="2188845"/>
                  <wp:effectExtent l="0" t="0" r="15240" b="1905"/>
                  <wp:docPr id="3" name="图片 3" descr="IMG_4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13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18460" cy="2188845"/>
                  <wp:effectExtent l="0" t="0" r="15240" b="1905"/>
                  <wp:docPr id="1" name="图片 1" descr="IMG_4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12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升压站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所有设备安装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完成，设备调试；试验结束；并网外部手续已经办理完成；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月初已实现升压站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2#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主变和所有设备运行；光伏区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16#、18#、19#、20#、22#、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23#单元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已并网投运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7MWP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。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41/46台箱、逆变就位；除部分有争议的土地外，集电电缆已敷设到箱变；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光伏区大棚基础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开挖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35.4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/46MWP；大棚基础浇筑完成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32.4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/46MWP；支架安装完成1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/46MWP；组件安装完成1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5.5/50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MWP；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汇流箱安装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40/50mwp；</w:t>
            </w: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实现土地全部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流转；同时完成第三块地的勘察、材料、测量、施工。</w:t>
            </w: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总包对已完工的施工资料与施工同步。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在下月</w:t>
            </w:r>
            <w:r>
              <w:rPr>
                <w:rFonts w:hint="eastAsia"/>
                <w:sz w:val="18"/>
                <w:szCs w:val="18"/>
                <w:lang w:eastAsia="zh-CN"/>
              </w:rPr>
              <w:t>实现道北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23个单元·全部安装完成，全部并网带电。</w:t>
            </w: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设备交付进度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升压站全部设备已到齐；光伏场区到场箱变41/46台；逆变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46</w:t>
            </w:r>
            <w:r>
              <w:rPr>
                <w:rFonts w:hint="eastAsia"/>
                <w:sz w:val="18"/>
                <w:szCs w:val="18"/>
              </w:rPr>
              <w:t>/46台；组件到场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35.54</w:t>
            </w:r>
            <w:r>
              <w:rPr>
                <w:rFonts w:hint="eastAsia"/>
                <w:sz w:val="18"/>
                <w:szCs w:val="18"/>
              </w:rPr>
              <w:t>/46MWP；支架到场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/>
                <w:sz w:val="18"/>
                <w:szCs w:val="18"/>
              </w:rPr>
              <w:t>MWP；汇流箱到场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40/50MW</w:t>
            </w:r>
            <w:r>
              <w:rPr>
                <w:rFonts w:hint="eastAsia"/>
                <w:sz w:val="18"/>
                <w:szCs w:val="18"/>
              </w:rPr>
              <w:t>；电力电缆到场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/>
                <w:sz w:val="18"/>
                <w:szCs w:val="18"/>
              </w:rPr>
              <w:t>MWP。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要求总包支架供应全部到场，保证施工人员有充足的材料施工。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设计交付进度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图纸部分未完成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图纸部分未完成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的，全部完善。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质量体系运作情况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质量体系健全，运行良好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落实质量保证体系，并对运行情况进行检查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施工图会审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设计交底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方案审查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提交方案已审查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督促施工单位报审其他资料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技术交底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设计变更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光伏区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支架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设计优化已提交，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已优化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安全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安全培训情况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新进场员工已进行安全培训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督促施工单位对进场新员工进行安全教育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安全交底情况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督促施工单位，在施工中对危险原进行识别，时刻加强安全意识，每天坚持班前培训进行安全技术交底，每个作业面要求安排一位监护人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员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，时刻对安全进行把控。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督促施工单位，新进场施工人员必须全部健康体检，进行上岗培训。必须坚持班前培训交底制度。增强安全意思，识别危险源，杜绝事故发生。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安全措施落实情况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针对现场查出的安全问题已整改落实，但还需要进一步加强。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对现场带电区域和交付土地要求进行围挡，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安全文明施工情况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现场安全、文明措施良好，有危险地带挂警示牌和警示带，每个区域和作业面挂标识牌，施工人员戴安全帽，高处作业人员扣安全带，穿反光背心。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夏季高温施工要求总包制定夏季施工方案，调整作业时间，做好防暑降温措施。确保安全生产。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质量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主要工序质量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基础定位放线、开挖、换填土、浇筑、支架及组件安装、电缆敷设、电缆头制作及耐压试验、箱式变压器、逆变器试验能够按规范执行。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要求各道工序严格按规范施工，下道工序前一定要监理验收合格后方能进行。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主要原材料质量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电缆外观质量合格，支架外观检查合格，组件观感质量合格；各种进场材料合格证，检测报告齐全，执行开箱检查记录，发现损坏做好记录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建立进场材料进行检查记录制度。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构（配）件质量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进场材料质量合格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把控好进场材料质量关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设备质量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进行进场报验、开箱检查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质量验评情况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工序施工符合要求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投资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资金情况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款项支付情况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40</w:t>
            </w:r>
            <w:r>
              <w:rPr>
                <w:rFonts w:hint="eastAsia"/>
                <w:color w:val="000000" w:themeColor="text1"/>
              </w:rPr>
              <w:t>00万元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预算外签证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合同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合同签订情况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施工合同签订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合同执行情况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做好合同执行工作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Lines="50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本月进度情况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5"/>
        <w:gridCol w:w="1272"/>
        <w:gridCol w:w="992"/>
        <w:gridCol w:w="1079"/>
        <w:gridCol w:w="944"/>
        <w:gridCol w:w="75"/>
        <w:gridCol w:w="872"/>
        <w:gridCol w:w="947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任务名称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计划开始时间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计划结束时间</w:t>
            </w: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施工开始日期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施工结束日期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本月实际完成（完成量/总量）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累计完成（完成量/总量）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18"/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</w:rPr>
              <w:t>江苏华能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bookmarkStart w:id="0" w:name="OLE_LINK1" w:colFirst="0" w:colLast="1"/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bookmarkStart w:id="1" w:name="OLE_LINK2"/>
            <w:r>
              <w:rPr>
                <w:rFonts w:hint="eastAsia"/>
                <w:color w:val="000000" w:themeColor="text1"/>
                <w:sz w:val="18"/>
                <w:szCs w:val="18"/>
              </w:rPr>
              <w:t>定位放线</w:t>
            </w:r>
            <w:bookmarkEnd w:id="1"/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2017、4、1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2017.5.30</w:t>
            </w: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2017.4.15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.30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5.46MW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35.41/50MW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大棚基础换填土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2017.4.1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2017.5.30</w:t>
            </w: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2017.4.15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.30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5.46MW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35.4/50MW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基础浇筑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2017.4.1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2017.5.30</w:t>
            </w: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2017.4.18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7.30.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5.33MW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32.41/50MW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bookmarkStart w:id="2" w:name="OLE_LINK3" w:colFirst="2" w:colLast="3"/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支架安装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2017.4.1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2017.6.10</w:t>
            </w: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2017、4、12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1.88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6.1/50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组件安装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2017.4.1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2017.6.15</w:t>
            </w: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2017.4、24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2017.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5.45/50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</w:p>
        </w:tc>
      </w:tr>
      <w:bookmarkEnd w:id="0"/>
    </w:tbl>
    <w:p>
      <w:pPr>
        <w:pStyle w:val="9"/>
        <w:numPr>
          <w:ilvl w:val="0"/>
          <w:numId w:val="1"/>
        </w:numPr>
        <w:spacing w:beforeLines="50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br w:type="textWrapping"/>
      </w:r>
      <w:r>
        <w:rPr>
          <w:rFonts w:hint="eastAsia"/>
          <w:color w:val="000000" w:themeColor="text1"/>
          <w:sz w:val="30"/>
          <w:szCs w:val="30"/>
        </w:rPr>
        <w:br w:type="textWrapping"/>
      </w:r>
      <w:r>
        <w:rPr>
          <w:rFonts w:hint="eastAsia"/>
          <w:color w:val="000000" w:themeColor="text1"/>
          <w:sz w:val="30"/>
          <w:szCs w:val="30"/>
        </w:rPr>
        <w:t xml:space="preserve">               安全文明施工情况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／</w:t>
            </w:r>
          </w:p>
        </w:tc>
      </w:tr>
    </w:tbl>
    <w:p>
      <w:pPr>
        <w:pStyle w:val="9"/>
        <w:numPr>
          <w:ilvl w:val="0"/>
          <w:numId w:val="1"/>
        </w:numPr>
        <w:spacing w:beforeLines="50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施工重点工作情况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督促施工单位优化人、机、料等资源配置，充分调动施工人员的积极性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配合建设单位做好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更多区域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并网前准备工作。要求施工单位合理安排施工进度计划，及时调整人力、物力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，加快推进全容并网的各项工作。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督促施工单位报审《安全文明施工管理制度》，安委会要定期对现场进行安全检查； 对施工人员进行安全培训、考试，提高作业人员安全防范意识，落实安全文明施工措施。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组件到场进行开箱检查；单位工程重点部位施工进行旁站；督促施工单位质量通病防治措施；监督施工项目部落实强制性条文的执行计划。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督促施工单位按照施工工艺和设计要求及电力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施工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规范要求进行施工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参与过程中重要（关键）环节的施工技术交底会，监督检查执行情况。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对施工单位申请的工程款及时进行评审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对工程量实施计量，及时审核施工项目部报送的工程量清单、进度款支付申请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督促施工单位按照复工日期的要求，安排人员、机具进行施工。</w:t>
            </w:r>
          </w:p>
        </w:tc>
      </w:tr>
    </w:tbl>
    <w:p>
      <w:pPr>
        <w:spacing w:beforeLines="350"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</w:t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</w:p>
    <w:p>
      <w:pPr>
        <w:rPr>
          <w:color w:val="000000" w:themeColor="text1"/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097"/>
    <w:rsid w:val="00011723"/>
    <w:rsid w:val="00077CC1"/>
    <w:rsid w:val="00097764"/>
    <w:rsid w:val="00141B91"/>
    <w:rsid w:val="00144C26"/>
    <w:rsid w:val="00155D85"/>
    <w:rsid w:val="00236CF4"/>
    <w:rsid w:val="00261B59"/>
    <w:rsid w:val="00285532"/>
    <w:rsid w:val="00392D99"/>
    <w:rsid w:val="003A5A33"/>
    <w:rsid w:val="003A5D2F"/>
    <w:rsid w:val="003F2278"/>
    <w:rsid w:val="00471426"/>
    <w:rsid w:val="00502559"/>
    <w:rsid w:val="005A211E"/>
    <w:rsid w:val="00610000"/>
    <w:rsid w:val="00624B5B"/>
    <w:rsid w:val="006D3E68"/>
    <w:rsid w:val="007C51F9"/>
    <w:rsid w:val="00812E5F"/>
    <w:rsid w:val="00890A11"/>
    <w:rsid w:val="008960B9"/>
    <w:rsid w:val="008E7392"/>
    <w:rsid w:val="00914097"/>
    <w:rsid w:val="00940405"/>
    <w:rsid w:val="00940639"/>
    <w:rsid w:val="00982770"/>
    <w:rsid w:val="009D775B"/>
    <w:rsid w:val="009F1FCB"/>
    <w:rsid w:val="00A54B17"/>
    <w:rsid w:val="00A7236B"/>
    <w:rsid w:val="00A8308D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0FE6A22"/>
    <w:rsid w:val="01342856"/>
    <w:rsid w:val="01AA1147"/>
    <w:rsid w:val="01CE20CF"/>
    <w:rsid w:val="039C51D3"/>
    <w:rsid w:val="0422639A"/>
    <w:rsid w:val="045808C7"/>
    <w:rsid w:val="05F04186"/>
    <w:rsid w:val="073F6CDC"/>
    <w:rsid w:val="08762068"/>
    <w:rsid w:val="09A52076"/>
    <w:rsid w:val="0D830EA6"/>
    <w:rsid w:val="0E1867C8"/>
    <w:rsid w:val="0E650177"/>
    <w:rsid w:val="0FAE32E4"/>
    <w:rsid w:val="106546F0"/>
    <w:rsid w:val="11013837"/>
    <w:rsid w:val="11977702"/>
    <w:rsid w:val="11A0337E"/>
    <w:rsid w:val="14D870EE"/>
    <w:rsid w:val="16207983"/>
    <w:rsid w:val="16E20076"/>
    <w:rsid w:val="172E26B3"/>
    <w:rsid w:val="17876378"/>
    <w:rsid w:val="19BE050D"/>
    <w:rsid w:val="19DE3935"/>
    <w:rsid w:val="1A616747"/>
    <w:rsid w:val="1A7F335D"/>
    <w:rsid w:val="1AB8229E"/>
    <w:rsid w:val="1C81539C"/>
    <w:rsid w:val="1D7E2952"/>
    <w:rsid w:val="1E5E425F"/>
    <w:rsid w:val="1EB11C69"/>
    <w:rsid w:val="1F8326BC"/>
    <w:rsid w:val="20F30B48"/>
    <w:rsid w:val="218B6995"/>
    <w:rsid w:val="220A158D"/>
    <w:rsid w:val="22FC278C"/>
    <w:rsid w:val="237D57D6"/>
    <w:rsid w:val="238C57FF"/>
    <w:rsid w:val="23907185"/>
    <w:rsid w:val="23991446"/>
    <w:rsid w:val="24186FBC"/>
    <w:rsid w:val="24FD1F94"/>
    <w:rsid w:val="253F5D13"/>
    <w:rsid w:val="259B3EBE"/>
    <w:rsid w:val="2B8319A7"/>
    <w:rsid w:val="2C2166A5"/>
    <w:rsid w:val="2C82499C"/>
    <w:rsid w:val="2CCD400F"/>
    <w:rsid w:val="2E9808CF"/>
    <w:rsid w:val="2F8D3BA9"/>
    <w:rsid w:val="32D922E2"/>
    <w:rsid w:val="33AE7C48"/>
    <w:rsid w:val="34547E6F"/>
    <w:rsid w:val="34C26F7D"/>
    <w:rsid w:val="365D4F92"/>
    <w:rsid w:val="3722629D"/>
    <w:rsid w:val="38BF4998"/>
    <w:rsid w:val="3A923373"/>
    <w:rsid w:val="3B02203B"/>
    <w:rsid w:val="3B395399"/>
    <w:rsid w:val="3CA1135A"/>
    <w:rsid w:val="3D691C33"/>
    <w:rsid w:val="3D6F1FD9"/>
    <w:rsid w:val="3E097D9C"/>
    <w:rsid w:val="3F374888"/>
    <w:rsid w:val="40231C45"/>
    <w:rsid w:val="40644C3C"/>
    <w:rsid w:val="409E4E10"/>
    <w:rsid w:val="4194536F"/>
    <w:rsid w:val="41CF4899"/>
    <w:rsid w:val="41DA6D96"/>
    <w:rsid w:val="42110DAC"/>
    <w:rsid w:val="449162C4"/>
    <w:rsid w:val="45030EF5"/>
    <w:rsid w:val="451A2200"/>
    <w:rsid w:val="45557E0F"/>
    <w:rsid w:val="459E5BC3"/>
    <w:rsid w:val="464B3CAC"/>
    <w:rsid w:val="47A37F3F"/>
    <w:rsid w:val="488D2A86"/>
    <w:rsid w:val="49757236"/>
    <w:rsid w:val="4A210024"/>
    <w:rsid w:val="4E8D1A96"/>
    <w:rsid w:val="4EBE1630"/>
    <w:rsid w:val="4FE43635"/>
    <w:rsid w:val="4FF162DD"/>
    <w:rsid w:val="501F5E72"/>
    <w:rsid w:val="50FD3AE9"/>
    <w:rsid w:val="51E4607C"/>
    <w:rsid w:val="52300B2F"/>
    <w:rsid w:val="52C43A72"/>
    <w:rsid w:val="54B754FE"/>
    <w:rsid w:val="561D36BE"/>
    <w:rsid w:val="56F905B2"/>
    <w:rsid w:val="56FA5A54"/>
    <w:rsid w:val="570A0E04"/>
    <w:rsid w:val="582E4BAB"/>
    <w:rsid w:val="587005B6"/>
    <w:rsid w:val="59A864AF"/>
    <w:rsid w:val="59AA72BF"/>
    <w:rsid w:val="5A463C80"/>
    <w:rsid w:val="5A694083"/>
    <w:rsid w:val="5A6D0A05"/>
    <w:rsid w:val="5A736327"/>
    <w:rsid w:val="5C116D80"/>
    <w:rsid w:val="5CC275CA"/>
    <w:rsid w:val="5D2C66C3"/>
    <w:rsid w:val="5DFF51C4"/>
    <w:rsid w:val="5E223E1B"/>
    <w:rsid w:val="5F67050C"/>
    <w:rsid w:val="5F79794E"/>
    <w:rsid w:val="5FB83C81"/>
    <w:rsid w:val="60971D01"/>
    <w:rsid w:val="612D5A4A"/>
    <w:rsid w:val="649B3415"/>
    <w:rsid w:val="65A574BB"/>
    <w:rsid w:val="6730194B"/>
    <w:rsid w:val="677F478F"/>
    <w:rsid w:val="68574471"/>
    <w:rsid w:val="6976022A"/>
    <w:rsid w:val="6AE050CF"/>
    <w:rsid w:val="6CD77F28"/>
    <w:rsid w:val="6CE858EA"/>
    <w:rsid w:val="6E511395"/>
    <w:rsid w:val="6EF6348B"/>
    <w:rsid w:val="71772122"/>
    <w:rsid w:val="73834104"/>
    <w:rsid w:val="7441677C"/>
    <w:rsid w:val="755325D9"/>
    <w:rsid w:val="767F3F49"/>
    <w:rsid w:val="76A55366"/>
    <w:rsid w:val="771D1E7B"/>
    <w:rsid w:val="78644F7B"/>
    <w:rsid w:val="797A074D"/>
    <w:rsid w:val="79820CAA"/>
    <w:rsid w:val="7AE920B0"/>
    <w:rsid w:val="7CC947B9"/>
    <w:rsid w:val="7D300941"/>
    <w:rsid w:val="7E7E254E"/>
    <w:rsid w:val="7EBE3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footer" Target="footer1.xml"/><Relationship Id="rId29" Type="http://schemas.openxmlformats.org/officeDocument/2006/relationships/customXml" Target="../customXml/item1.xml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413</Words>
  <Characters>2357</Characters>
  <Lines>19</Lines>
  <Paragraphs>5</Paragraphs>
  <ScaleCrop>false</ScaleCrop>
  <LinksUpToDate>false</LinksUpToDate>
  <CharactersWithSpaces>2765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Administrator</cp:lastModifiedBy>
  <cp:lastPrinted>2014-08-21T04:40:00Z</cp:lastPrinted>
  <dcterms:modified xsi:type="dcterms:W3CDTF">2017-07-29T08:12:25Z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