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森源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禹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州梨园沟120MWp光伏发电项目220kV线路送出工程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森源禹州梨园沟120MWp光伏发电项目220kV线路送出工程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pPr w:leftFromText="180" w:rightFromText="180" w:vertAnchor="text" w:horzAnchor="page" w:tblpX="2352" w:tblpY="127"/>
        <w:tblOverlap w:val="never"/>
        <w:tblW w:w="8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1683"/>
        <w:gridCol w:w="2537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253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本月重点工作情况</w:t>
            </w:r>
          </w:p>
        </w:tc>
        <w:tc>
          <w:tcPr>
            <w:tcW w:w="274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下月重点工作计划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进度</w:t>
            </w: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设计交付进度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图纸完成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质量体系运作情况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质量体系健全，运行良好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落实质量保证体系，并对运行情况进行检查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施工图会审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设计交底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方案审查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跟工程同步进行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督促跟工程同步进行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技术交底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设计变更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</w:t>
            </w: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安全培训情况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新进场员工已进行安全培训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督促施工单位对进场</w:t>
            </w:r>
            <w:r>
              <w:rPr>
                <w:rStyle w:val="12"/>
                <w:lang w:val="en-US" w:eastAsia="zh-CN" w:bidi="ar"/>
              </w:rPr>
              <w:t>新员工进行安全教育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安全交底情况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督促施工单位对危险作业点进行班前交底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继续督促施工单位进行班前交底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安全措施落实情况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落实不彻底，已要求施工单位认真落实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监督施工单位认真落实安全措施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现场安全、文明措施良好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加强现场安全管理力度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主要工序质量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基础浇筑都在可控范围内。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主要工序质量在可控范围内。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主要原材料质量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对主要材料进行检查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对主要材料进行检查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构（配）件质量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进场材料质量合格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把控好进场材料质量关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设备质量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进行进场报验、开箱检查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进行进场报验、开箱检查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质量验评情况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工序施工符合要求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加强过程检查力度，加大工序报验抽查力度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</w:t>
            </w: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款项支付情况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预算外签证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</w:t>
            </w: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合同签订情况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施工合同签订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合同执行情况</w:t>
            </w:r>
          </w:p>
        </w:tc>
        <w:tc>
          <w:tcPr>
            <w:tcW w:w="253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按合同执行</w:t>
            </w:r>
          </w:p>
        </w:tc>
        <w:tc>
          <w:tcPr>
            <w:tcW w:w="274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ind w:leftChars="-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p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 w:cs="Times New Roman"/>
          <w:b/>
          <w:sz w:val="24"/>
          <w:szCs w:val="24"/>
        </w:rPr>
        <w:t>220kV送出线路：</w:t>
      </w:r>
      <w:r>
        <w:rPr>
          <w:rFonts w:ascii="宋体" w:hAnsi="宋体"/>
          <w:bCs/>
          <w:sz w:val="24"/>
        </w:rPr>
        <w:tab/>
      </w:r>
    </w:p>
    <w:p>
      <w:pPr>
        <w:tabs>
          <w:tab w:val="left" w:pos="699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分坑定位完成G1-G24,共26基，累计完成占比（26级）100%；</w:t>
      </w:r>
    </w:p>
    <w:p>
      <w:pPr>
        <w:spacing w:line="360" w:lineRule="auto"/>
        <w:ind w:left="120" w:hanging="120" w:hangingChars="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基础开挖完成G1-G24，共26级，累计完成占比（26级）100%；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基础浇筑完成G1-G24，共26级，累计完成占比（26级）100%；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基础回填完成G1-G24，共26级，累计完成占比（26级）100%；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铁塔组立完成G1-G24，共26级，累计完成占比（26级）100%；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架线累计完成G1-G7+1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G16-G19，累计完成占比（26级）</w:t>
      </w:r>
      <w:r>
        <w:rPr>
          <w:rFonts w:hint="eastAsia" w:ascii="宋体" w:hAnsi="宋体"/>
          <w:sz w:val="24"/>
          <w:lang w:val="en-US" w:eastAsia="zh-CN"/>
        </w:rPr>
        <w:t>53</w:t>
      </w:r>
      <w:r>
        <w:rPr>
          <w:rFonts w:hint="eastAsia" w:ascii="宋体" w:hAnsi="宋体"/>
          <w:sz w:val="24"/>
        </w:rPr>
        <w:t>%；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接地累计完成G1-G24,共26基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累计完成占比（26级）</w:t>
      </w:r>
      <w:r>
        <w:rPr>
          <w:rFonts w:hint="eastAsia" w:ascii="宋体" w:hAnsi="宋体"/>
          <w:sz w:val="24"/>
          <w:lang w:val="en-US" w:eastAsia="zh-CN"/>
        </w:rPr>
        <w:t>100</w:t>
      </w:r>
      <w:r>
        <w:rPr>
          <w:rFonts w:hint="eastAsia" w:ascii="宋体" w:hAnsi="宋体"/>
          <w:sz w:val="24"/>
        </w:rPr>
        <w:t>%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Times New Roman"/>
          <w:sz w:val="24"/>
          <w:szCs w:val="24"/>
          <w:lang w:eastAsia="zh-CN"/>
        </w:rPr>
      </w:pPr>
    </w:p>
    <w:tbl>
      <w:tblPr>
        <w:tblStyle w:val="6"/>
        <w:tblW w:w="822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36"/>
        <w:gridCol w:w="1283"/>
        <w:gridCol w:w="1275"/>
        <w:gridCol w:w="1418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梨园沟220KV线路工程施工日统计表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总工程量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累计完成量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CC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CC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线路工程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CC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CC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CC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基础定位（组）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基础开挖（组）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基础支模（组）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基础绑筋（组）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基础浇筑（组）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基础回填（组）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组塔（台）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接地施工（组）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保护帽制作（组）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架线（级）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100%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100%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人员机械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rFonts w:hint="eastAsia" w:ascii="宋体" w:hAnsi="宋体" w:cs="Times New Roman"/>
          <w:b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ind w:leftChars="-170"/>
        <w:jc w:val="left"/>
        <w:rPr>
          <w:rFonts w:hint="eastAsia" w:ascii="宋体" w:hAnsi="宋体" w:cs="Times New Roman"/>
          <w:b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具备并网条件</w:t>
      </w: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pPr w:leftFromText="180" w:rightFromText="180" w:vertAnchor="text" w:horzAnchor="page" w:tblpX="1795" w:tblpY="1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39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和设计要求及上海电力的规范要求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3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0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森源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禹州梨园沟禹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州梨园沟120MWp光伏发电项目220kV线路送出工程项目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2435EF"/>
    <w:rsid w:val="045808C7"/>
    <w:rsid w:val="051F7D20"/>
    <w:rsid w:val="063B50A9"/>
    <w:rsid w:val="0D830EA6"/>
    <w:rsid w:val="0E1867C8"/>
    <w:rsid w:val="11013837"/>
    <w:rsid w:val="11A0337E"/>
    <w:rsid w:val="153A6051"/>
    <w:rsid w:val="1AB8229E"/>
    <w:rsid w:val="1EB11C69"/>
    <w:rsid w:val="1F8326BC"/>
    <w:rsid w:val="20320D06"/>
    <w:rsid w:val="230A7CF5"/>
    <w:rsid w:val="24186FBC"/>
    <w:rsid w:val="25C21431"/>
    <w:rsid w:val="34C26F7D"/>
    <w:rsid w:val="38BF4998"/>
    <w:rsid w:val="38C1430E"/>
    <w:rsid w:val="3CA1135A"/>
    <w:rsid w:val="4194536F"/>
    <w:rsid w:val="420C28C7"/>
    <w:rsid w:val="45557E0F"/>
    <w:rsid w:val="48FC5EE6"/>
    <w:rsid w:val="49385E71"/>
    <w:rsid w:val="4C933D1A"/>
    <w:rsid w:val="4EBE1630"/>
    <w:rsid w:val="4FF162DD"/>
    <w:rsid w:val="533A5A1F"/>
    <w:rsid w:val="561D36BE"/>
    <w:rsid w:val="56F905B2"/>
    <w:rsid w:val="56FA5A54"/>
    <w:rsid w:val="5C116D80"/>
    <w:rsid w:val="5F1E4541"/>
    <w:rsid w:val="6976022A"/>
    <w:rsid w:val="6E511395"/>
    <w:rsid w:val="755325D9"/>
    <w:rsid w:val="76A55366"/>
    <w:rsid w:val="797A074D"/>
    <w:rsid w:val="7D300941"/>
    <w:rsid w:val="7EA10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List Paragraph_2138d348-e4d0-4322-b9a3-e38aa03351a9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2127</Characters>
  <Lines>17</Lines>
  <Paragraphs>4</Paragraphs>
  <ScaleCrop>false</ScaleCrop>
  <LinksUpToDate>false</LinksUpToDate>
  <CharactersWithSpaces>2495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2014-08-21T04:40:00Z</cp:lastPrinted>
  <dcterms:modified xsi:type="dcterms:W3CDTF">2017-11-29T11:26:13Z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