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b/>
          <w:bCs/>
          <w:sz w:val="28"/>
          <w:szCs w:val="28"/>
          <w:lang w:val="en-US" w:eastAsia="zh-CN"/>
        </w:rPr>
        <w:t>项目情况报告</w:t>
      </w:r>
    </w:p>
    <w:p>
      <w:pPr>
        <w:rPr>
          <w:rFonts w:hint="eastAsia"/>
          <w:sz w:val="24"/>
          <w:szCs w:val="24"/>
          <w:u w:val="single"/>
          <w:lang w:val="en-US" w:eastAsia="zh-CN"/>
        </w:rPr>
      </w:pPr>
      <w:r>
        <w:rPr>
          <w:rFonts w:hint="eastAsia"/>
          <w:sz w:val="24"/>
          <w:szCs w:val="24"/>
          <w:lang w:val="en-US" w:eastAsia="zh-CN"/>
        </w:rPr>
        <w:t>报告日期：</w:t>
      </w:r>
      <w:r>
        <w:rPr>
          <w:rFonts w:hint="eastAsia"/>
          <w:sz w:val="24"/>
          <w:szCs w:val="24"/>
          <w:u w:val="single"/>
          <w:lang w:val="en-US" w:eastAsia="zh-CN"/>
        </w:rPr>
        <w:t>2017年11月25日</w:t>
      </w:r>
      <w:r>
        <w:rPr>
          <w:rFonts w:hint="eastAsia"/>
          <w:sz w:val="24"/>
          <w:szCs w:val="24"/>
          <w:lang w:val="en-US" w:eastAsia="zh-CN"/>
        </w:rPr>
        <w:t xml:space="preserve">                               编号：</w:t>
      </w:r>
      <w:r>
        <w:rPr>
          <w:rFonts w:hint="eastAsia"/>
          <w:sz w:val="24"/>
          <w:szCs w:val="24"/>
          <w:u w:val="single"/>
          <w:lang w:val="en-US" w:eastAsia="zh-CN"/>
        </w:rPr>
        <w:t xml:space="preserve">004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750"/>
        <w:gridCol w:w="120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6" w:type="dxa"/>
          </w:tcPr>
          <w:p>
            <w:pPr>
              <w:rPr>
                <w:rFonts w:hint="eastAsia"/>
                <w:sz w:val="24"/>
                <w:szCs w:val="24"/>
                <w:vertAlign w:val="baseline"/>
                <w:lang w:val="en-US" w:eastAsia="zh-CN"/>
              </w:rPr>
            </w:pPr>
            <w:r>
              <w:rPr>
                <w:rFonts w:hint="eastAsia"/>
                <w:sz w:val="24"/>
                <w:szCs w:val="24"/>
                <w:lang w:val="en-US" w:eastAsia="zh-CN"/>
              </w:rPr>
              <w:t>项目名称</w:t>
            </w:r>
          </w:p>
        </w:tc>
        <w:tc>
          <w:tcPr>
            <w:tcW w:w="2750" w:type="dxa"/>
          </w:tcPr>
          <w:p>
            <w:pPr>
              <w:rPr>
                <w:rFonts w:hint="eastAsia"/>
                <w:sz w:val="24"/>
                <w:szCs w:val="24"/>
                <w:vertAlign w:val="baseline"/>
                <w:lang w:val="en-US" w:eastAsia="zh-CN"/>
              </w:rPr>
            </w:pPr>
            <w:r>
              <w:rPr>
                <w:rFonts w:hint="eastAsia" w:ascii="宋体" w:hAnsi="宋体" w:eastAsia="宋体" w:cs="宋体"/>
                <w:sz w:val="22"/>
                <w:szCs w:val="22"/>
                <w:vertAlign w:val="baseline"/>
                <w:lang w:val="en-US" w:eastAsia="zh-CN"/>
              </w:rPr>
              <w:t>益阳市大通湖东大光伏200MWp渔光互补发电项目</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业主单位</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北京京能清洁能源电力股份有限公司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项目规模</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200MWp</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项目地址</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湖南省益阳市大通湖区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我方负责人</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刘忠杰</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人    数</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750" w:type="dxa"/>
          </w:tcPr>
          <w:p>
            <w:pPr>
              <w:rPr>
                <w:rFonts w:hint="eastAsia"/>
                <w:sz w:val="24"/>
                <w:szCs w:val="24"/>
                <w:vertAlign w:val="baseline"/>
                <w:lang w:val="en-US" w:eastAsia="zh-CN"/>
              </w:rPr>
            </w:pPr>
            <w:r>
              <w:rPr>
                <w:rFonts w:hint="eastAsia"/>
                <w:sz w:val="24"/>
                <w:szCs w:val="24"/>
                <w:vertAlign w:val="baseline"/>
                <w:lang w:val="en-US" w:eastAsia="zh-CN"/>
              </w:rPr>
              <w:t>2017年08月26日</w:t>
            </w:r>
          </w:p>
        </w:tc>
        <w:tc>
          <w:tcPr>
            <w:tcW w:w="1200"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3146" w:type="dxa"/>
          </w:tcPr>
          <w:p>
            <w:pPr>
              <w:rPr>
                <w:rFonts w:hint="eastAsia"/>
                <w:sz w:val="24"/>
                <w:szCs w:val="24"/>
                <w:vertAlign w:val="baseline"/>
                <w:lang w:val="en-US" w:eastAsia="zh-CN"/>
              </w:rPr>
            </w:pPr>
            <w:r>
              <w:rPr>
                <w:rFonts w:hint="eastAsia"/>
                <w:sz w:val="24"/>
                <w:szCs w:val="24"/>
                <w:vertAlign w:val="baseline"/>
                <w:lang w:val="en-US" w:eastAsia="zh-CN"/>
              </w:rPr>
              <w:t>不超过135天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rPr>
                <w:rFonts w:hint="eastAsia"/>
                <w:sz w:val="24"/>
                <w:szCs w:val="24"/>
                <w:vertAlign w:val="baseline"/>
                <w:lang w:val="en-US" w:eastAsia="zh-CN"/>
              </w:rPr>
            </w:pPr>
            <w:r>
              <w:rPr>
                <w:rFonts w:hint="eastAsia"/>
                <w:sz w:val="24"/>
                <w:szCs w:val="24"/>
                <w:vertAlign w:val="baseline"/>
                <w:lang w:val="en-US" w:eastAsia="zh-CN"/>
              </w:rPr>
              <w:t>建设单位：益阳大通湖东大光伏发电有限公司</w:t>
            </w:r>
          </w:p>
          <w:p>
            <w:pPr>
              <w:rPr>
                <w:rFonts w:hint="eastAsia"/>
                <w:sz w:val="24"/>
                <w:szCs w:val="24"/>
                <w:vertAlign w:val="baseline"/>
                <w:lang w:val="en-US" w:eastAsia="zh-CN"/>
              </w:rPr>
            </w:pPr>
            <w:r>
              <w:rPr>
                <w:rFonts w:hint="eastAsia"/>
                <w:sz w:val="24"/>
                <w:szCs w:val="24"/>
                <w:vertAlign w:val="baseline"/>
                <w:lang w:val="en-US" w:eastAsia="zh-CN"/>
              </w:rPr>
              <w:t>监理单位：湖南加力电力咨询有限公司</w:t>
            </w:r>
          </w:p>
          <w:p>
            <w:pPr>
              <w:rPr>
                <w:rFonts w:hint="eastAsia"/>
                <w:sz w:val="24"/>
                <w:szCs w:val="24"/>
                <w:vertAlign w:val="baseline"/>
                <w:lang w:val="en-US" w:eastAsia="zh-CN"/>
              </w:rPr>
            </w:pPr>
            <w:r>
              <w:rPr>
                <w:rFonts w:hint="eastAsia"/>
                <w:sz w:val="24"/>
                <w:szCs w:val="24"/>
                <w:vertAlign w:val="baseline"/>
                <w:lang w:val="en-US" w:eastAsia="zh-CN"/>
              </w:rPr>
              <w:t>设计单位：国电南京自动化有限公司</w:t>
            </w:r>
          </w:p>
          <w:p>
            <w:pPr>
              <w:rPr>
                <w:rFonts w:hint="eastAsia"/>
                <w:sz w:val="24"/>
                <w:szCs w:val="24"/>
                <w:vertAlign w:val="baseline"/>
                <w:lang w:val="en-US" w:eastAsia="zh-CN"/>
              </w:rPr>
            </w:pPr>
            <w:r>
              <w:rPr>
                <w:rFonts w:hint="eastAsia"/>
                <w:sz w:val="24"/>
                <w:szCs w:val="24"/>
                <w:vertAlign w:val="baseline"/>
                <w:lang w:val="en-US" w:eastAsia="zh-CN"/>
              </w:rPr>
              <w:t>总承包单位：中国电建集团江西省火电建设公司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东大光伏发电有限公司200MWp渔光互补光伏发电项目一期100MWp光伏并网发电项目建设单位为益阳大通湖东大光伏发电有限公司。本项目规划建设地点位于益阳市大通湖区，项目地址位于北纬29°14′，东经112°32′。总规划容量为200MWp，本期建设容量为100MWp。组件拟安装规模为103.45357MWp。预计电站运营期内（20年）总发电量为180265.657万kWh，平均年上网电量为9013.282849万kWh。系统首年等效利用小时为939.31h，20年平均年利用小时数为871.24h。</w:t>
            </w:r>
          </w:p>
          <w:p>
            <w:pPr>
              <w:numPr>
                <w:ilvl w:val="0"/>
                <w:numId w:val="0"/>
              </w:numPr>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益阳大通湖200MWP 渔光互补光伏发电项目二期100MWP 光伏并网发电项目位于大通湖区金盆镇，占地约2500 亩,本期项目投资约7.8 亿元。本项目是利用大通湖区鱼池开发的“渔光互补”光伏电站项目，属于湖南省重点支持并纳入十三五规划的新能源项目。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业主单位情况</w:t>
            </w:r>
          </w:p>
          <w:p>
            <w:pPr>
              <w:numPr>
                <w:ilvl w:val="0"/>
                <w:numId w:val="0"/>
              </w:numPr>
              <w:ind w:firstLine="480" w:firstLineChars="200"/>
              <w:rPr>
                <w:rFonts w:hint="eastAsia"/>
                <w:sz w:val="24"/>
                <w:szCs w:val="24"/>
                <w:vertAlign w:val="baseline"/>
                <w:lang w:val="en-US" w:eastAsia="zh-CN"/>
              </w:rPr>
            </w:pPr>
            <w:r>
              <w:rPr>
                <w:rFonts w:hint="eastAsia" w:ascii="宋体" w:hAnsi="宋体" w:eastAsia="宋体" w:cs="宋体"/>
                <w:b w:val="0"/>
                <w:i w:val="0"/>
                <w:caps w:val="0"/>
                <w:color w:val="000000"/>
                <w:spacing w:val="0"/>
                <w:sz w:val="24"/>
                <w:szCs w:val="24"/>
                <w:shd w:val="clear" w:fill="FFFFFF"/>
              </w:rPr>
              <w:t>北京京能电力股份有限公司（简称：京能电力）是京能集团旗下唯一的煤电业务投融资平台，前身为北京京能热电股份有限公司，其历史可以追溯到具有百年历史的石景山发电总厂。京能热电</w:t>
            </w:r>
            <w:r>
              <w:rPr>
                <w:rFonts w:hint="eastAsia" w:ascii="宋体" w:hAnsi="宋体" w:eastAsia="宋体" w:cs="宋体"/>
                <w:b w:val="0"/>
                <w:i w:val="0"/>
                <w:caps w:val="0"/>
                <w:color w:val="000000"/>
                <w:spacing w:val="0"/>
                <w:sz w:val="24"/>
                <w:szCs w:val="24"/>
                <w:shd w:val="clear" w:fill="FFFFFF"/>
                <w:lang w:val="en-US"/>
              </w:rPr>
              <w:t>2000</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3</w:t>
            </w:r>
            <w:r>
              <w:rPr>
                <w:rFonts w:hint="eastAsia" w:ascii="宋体" w:hAnsi="宋体" w:eastAsia="宋体" w:cs="宋体"/>
                <w:b w:val="0"/>
                <w:i w:val="0"/>
                <w:caps w:val="0"/>
                <w:color w:val="000000"/>
                <w:spacing w:val="0"/>
                <w:sz w:val="24"/>
                <w:szCs w:val="24"/>
                <w:shd w:val="clear" w:fill="FFFFFF"/>
              </w:rPr>
              <w:t>月成立，</w:t>
            </w:r>
            <w:r>
              <w:rPr>
                <w:rFonts w:hint="eastAsia" w:ascii="宋体" w:hAnsi="宋体" w:eastAsia="宋体" w:cs="宋体"/>
                <w:b w:val="0"/>
                <w:i w:val="0"/>
                <w:caps w:val="0"/>
                <w:color w:val="000000"/>
                <w:spacing w:val="0"/>
                <w:sz w:val="24"/>
                <w:szCs w:val="24"/>
                <w:shd w:val="clear" w:fill="FFFFFF"/>
                <w:lang w:val="en-US"/>
              </w:rPr>
              <w:t>2002</w:t>
            </w:r>
            <w:r>
              <w:rPr>
                <w:rFonts w:hint="eastAsia" w:ascii="宋体" w:hAnsi="宋体" w:eastAsia="宋体" w:cs="宋体"/>
                <w:b w:val="0"/>
                <w:i w:val="0"/>
                <w:caps w:val="0"/>
                <w:color w:val="000000"/>
                <w:spacing w:val="0"/>
                <w:sz w:val="24"/>
                <w:szCs w:val="24"/>
                <w:shd w:val="clear" w:fill="FFFFFF"/>
              </w:rPr>
              <w:t>年</w:t>
            </w:r>
            <w:r>
              <w:rPr>
                <w:rFonts w:hint="eastAsia" w:ascii="宋体" w:hAnsi="宋体" w:eastAsia="宋体" w:cs="宋体"/>
                <w:b w:val="0"/>
                <w:i w:val="0"/>
                <w:caps w:val="0"/>
                <w:color w:val="000000"/>
                <w:spacing w:val="0"/>
                <w:sz w:val="24"/>
                <w:szCs w:val="24"/>
                <w:shd w:val="clear" w:fill="FFFFFF"/>
                <w:lang w:val="en-US"/>
              </w:rPr>
              <w:t>5</w:t>
            </w:r>
            <w:r>
              <w:rPr>
                <w:rFonts w:hint="eastAsia" w:ascii="宋体" w:hAnsi="宋体" w:eastAsia="宋体" w:cs="宋体"/>
                <w:b w:val="0"/>
                <w:i w:val="0"/>
                <w:caps w:val="0"/>
                <w:color w:val="000000"/>
                <w:spacing w:val="0"/>
                <w:sz w:val="24"/>
                <w:szCs w:val="24"/>
                <w:shd w:val="clear" w:fill="FFFFFF"/>
              </w:rPr>
              <w:t>月在上海证券交易所上市，</w:t>
            </w:r>
            <w:r>
              <w:rPr>
                <w:rFonts w:hint="eastAsia" w:ascii="宋体" w:hAnsi="宋体" w:eastAsia="宋体" w:cs="宋体"/>
                <w:b w:val="0"/>
                <w:i w:val="0"/>
                <w:caps w:val="0"/>
                <w:color w:val="000000"/>
                <w:spacing w:val="0"/>
                <w:sz w:val="24"/>
                <w:szCs w:val="24"/>
                <w:shd w:val="clear" w:fill="FFFFFF"/>
                <w:lang w:val="en-US"/>
              </w:rPr>
              <w:t>2013</w:t>
            </w:r>
            <w:r>
              <w:rPr>
                <w:rFonts w:hint="eastAsia" w:ascii="宋体" w:hAnsi="宋体" w:eastAsia="宋体" w:cs="宋体"/>
                <w:b w:val="0"/>
                <w:i w:val="0"/>
                <w:caps w:val="0"/>
                <w:color w:val="000000"/>
                <w:spacing w:val="0"/>
                <w:sz w:val="24"/>
                <w:szCs w:val="24"/>
                <w:shd w:val="clear" w:fill="FFFFFF"/>
              </w:rPr>
              <w:t>年重组后更名为京能电力，业务范围涵盖火力发电、热电联产、煤电联营、售电经营等。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0"/>
              </w:numPr>
              <w:rPr>
                <w:rFonts w:hint="eastAsia"/>
                <w:sz w:val="24"/>
                <w:szCs w:val="24"/>
                <w:vertAlign w:val="baseline"/>
                <w:lang w:val="en-US" w:eastAsia="zh-CN"/>
              </w:rPr>
            </w:pPr>
            <w:r>
              <w:rPr>
                <w:rFonts w:hint="eastAsia"/>
                <w:sz w:val="24"/>
                <w:szCs w:val="24"/>
                <w:vertAlign w:val="baseline"/>
                <w:lang w:val="en-US" w:eastAsia="zh-CN"/>
              </w:rPr>
              <w:t>三、总承包单位情况</w:t>
            </w:r>
          </w:p>
          <w:p>
            <w:pPr>
              <w:numPr>
                <w:ilvl w:val="0"/>
                <w:numId w:val="0"/>
              </w:numPr>
              <w:ind w:firstLine="480" w:firstLineChars="200"/>
              <w:rPr>
                <w:rFonts w:hint="eastAsia"/>
                <w:sz w:val="28"/>
                <w:szCs w:val="28"/>
                <w:vertAlign w:val="baseline"/>
                <w:lang w:val="en-US" w:eastAsia="zh-CN"/>
              </w:rPr>
            </w:pPr>
            <w:r>
              <w:rPr>
                <w:rFonts w:hint="eastAsia"/>
                <w:sz w:val="24"/>
                <w:szCs w:val="24"/>
                <w:vertAlign w:val="baseline"/>
                <w:lang w:val="en-US" w:eastAsia="zh-CN"/>
              </w:rPr>
              <w:t>江西省火电建设公司是一家以发电、电网工程施工为主营业务，集火电、风电、光伏、电网、核电、可再生能源、机电设备安装 等工程施工为一体的大型国企。公司具有电力工程施工总承包壹级、管道工程专业承包壹级、机电设备安装工程专业承包壹级、环保工程专业承包壹级、市政工程贰级、火电工程调试甲级以及民用核承压设备安装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highlight w:val="none"/>
                <w:vertAlign w:val="baseline"/>
                <w:lang w:val="en-US" w:eastAsia="zh-CN"/>
              </w:rPr>
            </w:pPr>
            <w:r>
              <w:rPr>
                <w:rFonts w:hint="eastAsia"/>
                <w:color w:val="FF0000"/>
                <w:sz w:val="24"/>
                <w:szCs w:val="24"/>
                <w:highlight w:val="none"/>
                <w:vertAlign w:val="baseline"/>
                <w:lang w:val="en-US" w:eastAsia="zh-CN"/>
              </w:rPr>
              <w:t>我方工作的范围和内容（包括业主方的特殊要求）重点写</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lang w:val="en-US" w:eastAsia="zh-CN"/>
              </w:rPr>
              <w:t>协助委托方北京京能清洁能源电力股份有限公司针对现场消缺工程及在建工程提供相关质量管理工作，具体包括：</w:t>
            </w:r>
            <w:r>
              <w:rPr>
                <w:rFonts w:hint="eastAsia" w:ascii="宋体" w:hAnsi="宋体" w:cs="宋体"/>
                <w:b w:val="0"/>
                <w:bCs w:val="0"/>
                <w:sz w:val="24"/>
                <w:szCs w:val="24"/>
                <w:u w:val="single"/>
                <w:lang w:val="en-US" w:eastAsia="zh-CN"/>
              </w:rPr>
              <w:t>现场组织与协调、项目内部协调、阶段性验收、施工预算审核、专业分包审核、工程质量、进度、安全、造价管理，工程施工管理，对工程的管理、对设计和变更的管理，工程价款支付审核、组织竣工验收、工程结算审核、编制项目完工报告、竣工验收阶段项目管理。</w:t>
            </w:r>
          </w:p>
          <w:p>
            <w:pPr>
              <w:numPr>
                <w:ilvl w:val="0"/>
                <w:numId w:val="0"/>
              </w:numPr>
              <w:ind w:firstLine="480" w:firstLineChars="200"/>
              <w:rPr>
                <w:rFonts w:hint="eastAsia" w:ascii="宋体" w:hAnsi="宋体" w:cs="宋体"/>
                <w:b w:val="0"/>
                <w:bCs w:val="0"/>
                <w:sz w:val="24"/>
                <w:szCs w:val="24"/>
                <w:u w:val="single"/>
                <w:lang w:val="en-US" w:eastAsia="zh-CN"/>
              </w:rPr>
            </w:pPr>
            <w:r>
              <w:rPr>
                <w:rFonts w:hint="eastAsia" w:ascii="宋体" w:hAnsi="宋体" w:cs="宋体"/>
                <w:b w:val="0"/>
                <w:bCs w:val="0"/>
                <w:sz w:val="24"/>
                <w:szCs w:val="24"/>
                <w:u w:val="single"/>
                <w:lang w:val="en-US" w:eastAsia="zh-CN"/>
              </w:rPr>
              <w:t>业主要求：一期二期分开管理，每天写一份工作日记，每月一份月总结。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2"/>
              </w:numPr>
              <w:rPr>
                <w:rFonts w:hint="eastAsia"/>
                <w:color w:val="FF0000"/>
                <w:sz w:val="24"/>
                <w:szCs w:val="24"/>
                <w:vertAlign w:val="baseline"/>
                <w:lang w:val="en-US" w:eastAsia="zh-CN"/>
              </w:rPr>
            </w:pPr>
            <w:r>
              <w:rPr>
                <w:rFonts w:hint="eastAsia"/>
                <w:color w:val="FF0000"/>
                <w:sz w:val="24"/>
                <w:szCs w:val="24"/>
                <w:vertAlign w:val="baseline"/>
                <w:lang w:val="en-US" w:eastAsia="zh-CN"/>
              </w:rPr>
              <w:t>项目实施当前的难点与我方开展工作的困难</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二期到一期路途较远，每天早上要在路上花费一个小时才能到，早出晚归。</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下雨天现场道路泥泞不堪，现场较大，电动车无法行进，只能步行巡检，无形中增大了工作量。</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住房离菜市场有7公里，且菜价较贵，公司补助不足吃饭。</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业主不在现场，总包单位与施工单位沆瀣一气，我们发现的问题，他们口头同意要整改，但是现场一直未见整改。</w:t>
            </w:r>
          </w:p>
          <w:p>
            <w:pPr>
              <w:widowControl w:val="0"/>
              <w:numPr>
                <w:ilvl w:val="0"/>
                <w:numId w:val="3"/>
              </w:numPr>
              <w:jc w:val="both"/>
              <w:rPr>
                <w:rFonts w:hint="eastAsia"/>
                <w:sz w:val="24"/>
                <w:szCs w:val="24"/>
                <w:vertAlign w:val="baseline"/>
                <w:lang w:val="en-US" w:eastAsia="zh-CN"/>
              </w:rPr>
            </w:pPr>
            <w:r>
              <w:rPr>
                <w:rFonts w:hint="eastAsia"/>
                <w:sz w:val="24"/>
                <w:szCs w:val="24"/>
                <w:vertAlign w:val="baseline"/>
                <w:lang w:val="en-US" w:eastAsia="zh-CN"/>
              </w:rPr>
              <w:t>进入冬季，早晚温差较大，天气很冷，一期二期早晚骑摩托车非常辛苦。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widowControl w:val="0"/>
              <w:numPr>
                <w:ilvl w:val="0"/>
                <w:numId w:val="0"/>
              </w:numPr>
              <w:jc w:val="both"/>
              <w:rPr>
                <w:rFonts w:hint="eastAsia"/>
                <w:sz w:val="24"/>
                <w:szCs w:val="24"/>
                <w:vertAlign w:val="baseline"/>
                <w:lang w:val="en-US" w:eastAsia="zh-CN"/>
              </w:rPr>
            </w:pPr>
            <w:r>
              <w:rPr>
                <w:rFonts w:hint="eastAsia"/>
                <w:sz w:val="24"/>
                <w:szCs w:val="24"/>
                <w:vertAlign w:val="baseline"/>
                <w:lang w:val="en-US" w:eastAsia="zh-CN"/>
              </w:rPr>
              <w:t>六、工作情况</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如下表</w:t>
            </w:r>
            <w:bookmarkStart w:id="0" w:name="_GoBack"/>
            <w:bookmarkEnd w:id="0"/>
          </w:p>
          <w:p>
            <w:pPr>
              <w:numPr>
                <w:ilvl w:val="0"/>
                <w:numId w:val="0"/>
              </w:numPr>
              <w:rPr>
                <w:rFonts w:hint="eastAsia"/>
                <w:sz w:val="24"/>
                <w:szCs w:val="24"/>
                <w:vertAlign w:val="baseline"/>
                <w:lang w:val="en-US" w:eastAsia="zh-CN"/>
              </w:rPr>
            </w:pPr>
            <w:r>
              <w:rPr>
                <w:rFonts w:hint="eastAsia"/>
                <w:sz w:val="24"/>
                <w:szCs w:val="24"/>
                <w:vertAlign w:val="baseline"/>
                <w:lang w:val="en-US" w:eastAsia="zh-CN"/>
              </w:rPr>
              <w:t>业主对我方工作的态度、意见及要求:</w:t>
            </w:r>
          </w:p>
          <w:p>
            <w:pPr>
              <w:numPr>
                <w:ilvl w:val="0"/>
                <w:numId w:val="4"/>
              </w:numPr>
              <w:rPr>
                <w:rFonts w:hint="eastAsia"/>
                <w:sz w:val="24"/>
                <w:szCs w:val="24"/>
                <w:vertAlign w:val="baseline"/>
                <w:lang w:val="en-US" w:eastAsia="zh-CN"/>
              </w:rPr>
            </w:pPr>
            <w:r>
              <w:rPr>
                <w:rFonts w:hint="eastAsia"/>
                <w:sz w:val="24"/>
                <w:szCs w:val="24"/>
                <w:vertAlign w:val="baseline"/>
                <w:lang w:val="en-US" w:eastAsia="zh-CN"/>
              </w:rPr>
              <w:t>业主要求在日报中体现工作痕迹，如：照片、施工人数、施工机械等。</w:t>
            </w:r>
          </w:p>
          <w:p>
            <w:pPr>
              <w:numPr>
                <w:ilvl w:val="0"/>
                <w:numId w:val="4"/>
              </w:numPr>
              <w:rPr>
                <w:rFonts w:hint="eastAsia"/>
                <w:sz w:val="24"/>
                <w:szCs w:val="24"/>
                <w:vertAlign w:val="baseline"/>
                <w:lang w:val="en-US" w:eastAsia="zh-CN"/>
              </w:rPr>
            </w:pPr>
            <w:r>
              <w:rPr>
                <w:rFonts w:hint="eastAsia"/>
                <w:sz w:val="24"/>
                <w:szCs w:val="24"/>
                <w:vertAlign w:val="baseline"/>
                <w:lang w:val="en-US" w:eastAsia="zh-CN"/>
              </w:rPr>
              <w:t>业主要求我方参与检查验收。</w:t>
            </w:r>
          </w:p>
        </w:tc>
      </w:tr>
    </w:tbl>
    <w:p>
      <w:pP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益阳市大通湖东大光伏200MWp渔光互补发电</w:t>
      </w:r>
      <w:r>
        <w:rPr>
          <w:rFonts w:hint="eastAsia" w:ascii="宋体" w:hAnsi="宋体" w:eastAsia="宋体" w:cs="宋体"/>
          <w:sz w:val="24"/>
          <w:szCs w:val="24"/>
          <w:lang w:val="en-US" w:eastAsia="zh-CN"/>
        </w:rPr>
        <w:t>项目部    日期：2017.11.25</w:t>
      </w:r>
    </w:p>
    <w:p>
      <w:pPr>
        <w:keepNext w:val="0"/>
        <w:keepLines w:val="0"/>
        <w:pageBreakBefore w:val="0"/>
        <w:widowControl w:val="0"/>
        <w:numPr>
          <w:ilvl w:val="0"/>
          <w:numId w:val="5"/>
        </w:numPr>
        <w:tabs>
          <w:tab w:val="left" w:pos="851"/>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olor w:val="000000"/>
          <w:kern w:val="0"/>
          <w:sz w:val="28"/>
        </w:rPr>
      </w:pPr>
      <w:r>
        <w:rPr>
          <w:rFonts w:hint="eastAsia" w:ascii="宋体" w:hAnsi="宋体"/>
          <w:color w:val="000000"/>
          <w:kern w:val="0"/>
          <w:sz w:val="28"/>
        </w:rPr>
        <w:t>工程进度</w:t>
      </w:r>
    </w:p>
    <w:p>
      <w:pPr>
        <w:keepNext w:val="0"/>
        <w:keepLines w:val="0"/>
        <w:pageBreakBefore w:val="0"/>
        <w:widowControl w:val="0"/>
        <w:numPr>
          <w:ilvl w:val="0"/>
          <w:numId w:val="6"/>
        </w:numPr>
        <w:tabs>
          <w:tab w:val="left" w:pos="851"/>
          <w:tab w:val="clear" w:pos="312"/>
        </w:tabs>
        <w:kinsoku/>
        <w:wordWrap/>
        <w:overflowPunct/>
        <w:topLinePunct w:val="0"/>
        <w:autoSpaceDE/>
        <w:autoSpaceDN/>
        <w:bidi w:val="0"/>
        <w:adjustRightInd/>
        <w:snapToGrid/>
        <w:spacing w:before="157" w:beforeLines="50" w:after="157" w:afterLines="50" w:line="240" w:lineRule="atLeast"/>
        <w:ind w:left="0" w:leftChars="0" w:right="0" w:rightChars="0" w:firstLine="0" w:firstLineChars="0"/>
        <w:jc w:val="both"/>
        <w:textAlignment w:val="auto"/>
        <w:outlineLvl w:val="9"/>
        <w:rPr>
          <w:rFonts w:hint="eastAsia" w:ascii="宋体" w:hAnsi="宋体"/>
          <w:color w:val="000000"/>
          <w:sz w:val="28"/>
          <w:szCs w:val="28"/>
        </w:rPr>
      </w:pPr>
      <w:r>
        <w:rPr>
          <w:rFonts w:hint="eastAsia" w:ascii="宋体" w:hAnsi="宋体"/>
          <w:color w:val="000000"/>
          <w:sz w:val="28"/>
          <w:szCs w:val="28"/>
        </w:rPr>
        <w:t>一期光伏场区施工进度</w:t>
      </w:r>
    </w:p>
    <w:tbl>
      <w:tblPr>
        <w:tblStyle w:val="4"/>
        <w:tblpPr w:leftFromText="180" w:rightFromText="180" w:vertAnchor="page" w:horzAnchor="page" w:tblpX="1752" w:tblpY="7307"/>
        <w:tblOverlap w:val="never"/>
        <w:tblW w:w="8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1500"/>
        <w:gridCol w:w="187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b w:val="0"/>
                <w:bCs w:val="0"/>
                <w:sz w:val="28"/>
                <w:szCs w:val="28"/>
                <w:vertAlign w:val="baseline"/>
                <w:lang w:eastAsia="zh-CN"/>
              </w:rPr>
              <w:t>项目</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总量</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完成工作量</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未完成量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打桩</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54717根</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53221根</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1496根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支架安装</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100MW</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98MW</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组件安装</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100MW</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94MW</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逆变器安装</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2002台</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1934台</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汇流箱安装</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518台</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500台</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箱变安装</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60个阵区</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54个阵区</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低压电缆敷设及接线</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60个阵区</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53个阵区</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高压电缆敷设及接线</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60个阵区</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50个阵区</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92"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接地及防腐</w:t>
            </w:r>
          </w:p>
        </w:tc>
        <w:tc>
          <w:tcPr>
            <w:tcW w:w="1500"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60个阵区</w:t>
            </w:r>
          </w:p>
        </w:tc>
        <w:tc>
          <w:tcPr>
            <w:tcW w:w="187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58个阵区</w:t>
            </w:r>
          </w:p>
        </w:tc>
        <w:tc>
          <w:tcPr>
            <w:tcW w:w="2085" w:type="dxa"/>
            <w:tcBorders>
              <w:top w:val="single" w:color="auto" w:sz="8" w:space="0"/>
              <w:left w:val="single" w:color="auto" w:sz="8" w:space="0"/>
              <w:bottom w:val="single" w:color="auto" w:sz="8" w:space="0"/>
              <w:right w:val="single" w:color="auto" w:sz="8" w:space="0"/>
            </w:tcBorders>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2个</w:t>
            </w:r>
          </w:p>
        </w:tc>
      </w:tr>
    </w:tbl>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leftChars="0" w:right="0" w:rightChars="0"/>
        <w:jc w:val="both"/>
        <w:textAlignment w:val="auto"/>
        <w:outlineLvl w:val="9"/>
        <w:rPr>
          <w:rFonts w:hint="eastAsia" w:ascii="宋体" w:hAnsi="宋体"/>
          <w:color w:val="000000"/>
          <w:sz w:val="24"/>
        </w:rPr>
      </w:pPr>
    </w:p>
    <w:p>
      <w:pPr>
        <w:keepNext w:val="0"/>
        <w:keepLines w:val="0"/>
        <w:pageBreakBefore w:val="0"/>
        <w:widowControl w:val="0"/>
        <w:numPr>
          <w:ilvl w:val="0"/>
          <w:numId w:val="6"/>
        </w:numPr>
        <w:tabs>
          <w:tab w:val="left" w:pos="851"/>
          <w:tab w:val="clear" w:pos="312"/>
        </w:tabs>
        <w:kinsoku/>
        <w:wordWrap/>
        <w:overflowPunct/>
        <w:topLinePunct w:val="0"/>
        <w:autoSpaceDE/>
        <w:autoSpaceDN/>
        <w:bidi w:val="0"/>
        <w:adjustRightInd/>
        <w:snapToGrid/>
        <w:spacing w:before="157" w:beforeLines="50" w:after="157" w:afterLines="50" w:line="240" w:lineRule="atLeast"/>
        <w:ind w:left="0" w:leftChars="0" w:right="0" w:rightChars="0" w:firstLine="0" w:firstLineChars="0"/>
        <w:jc w:val="both"/>
        <w:textAlignment w:val="auto"/>
        <w:outlineLvl w:val="9"/>
        <w:rPr>
          <w:rFonts w:hint="eastAsia" w:ascii="宋体" w:hAnsi="宋体"/>
          <w:color w:val="000000"/>
          <w:sz w:val="32"/>
          <w:szCs w:val="32"/>
        </w:rPr>
      </w:pPr>
      <w:r>
        <w:rPr>
          <w:rFonts w:hint="eastAsia" w:ascii="宋体" w:hAnsi="宋体"/>
          <w:color w:val="000000"/>
          <w:sz w:val="32"/>
          <w:szCs w:val="32"/>
          <w:lang w:val="en-US" w:eastAsia="zh-CN"/>
        </w:rPr>
        <w:t>二期光伏场 区施工进度</w:t>
      </w:r>
    </w:p>
    <w:tbl>
      <w:tblPr>
        <w:tblStyle w:val="4"/>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500"/>
        <w:gridCol w:w="187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总量</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累计完成量</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未完成量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打桩</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50400根</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29000根</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21400根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支架安装</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100MW</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50MW</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组件安装</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100MW</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42MW</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58MW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汇流箱安装</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1150个</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640个</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箱变安装</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72个</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34个</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逆变器安装</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72个</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34个</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低压电缆敷设及接线</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72个阵区</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22个阵区</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高压电缆敷设及接线</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72个阵区</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10个阵区</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1"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接地及防腐</w:t>
            </w:r>
          </w:p>
        </w:tc>
        <w:tc>
          <w:tcPr>
            <w:tcW w:w="15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72个阵区</w:t>
            </w:r>
          </w:p>
        </w:tc>
        <w:tc>
          <w:tcPr>
            <w:tcW w:w="1875"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33个阵区</w:t>
            </w:r>
          </w:p>
        </w:tc>
        <w:tc>
          <w:tcPr>
            <w:tcW w:w="2100" w:type="dxa"/>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39个</w:t>
            </w:r>
          </w:p>
        </w:tc>
      </w:tr>
    </w:tbl>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7" w:beforeLines="50" w:after="157" w:afterLines="50" w:line="240" w:lineRule="atLeast"/>
        <w:ind w:left="0" w:leftChars="0" w:right="0" w:rightChars="0" w:firstLine="0" w:firstLineChars="0"/>
        <w:jc w:val="both"/>
        <w:textAlignment w:val="auto"/>
        <w:outlineLvl w:val="9"/>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auto"/>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ngsana New">
    <w:altName w:val="Microsoft Sans Serif"/>
    <w:panose1 w:val="02020603050405020304"/>
    <w:charset w:val="DE"/>
    <w:family w:val="auto"/>
    <w:pitch w:val="default"/>
    <w:sig w:usb0="00000000" w:usb1="00000000" w:usb2="00000000" w:usb3="00000000" w:csb0="00010001" w:csb1="00000000"/>
  </w:font>
  <w:font w:name="Century">
    <w:panose1 w:val="020406040505050203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 w:name="GulimChe">
    <w:altName w:val="Malgun Gothic"/>
    <w:panose1 w:val="020B0609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icrosoft YaHei UI">
    <w:panose1 w:val="020B0503020204020204"/>
    <w:charset w:val="86"/>
    <w:family w:val="auto"/>
    <w:pitch w:val="default"/>
    <w:sig w:usb0="80000287" w:usb1="28CF3C50" w:usb2="00000016" w:usb3="00000000" w:csb0="0004001F" w:csb1="00000000"/>
  </w:font>
  <w:font w:name="方正报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10" w:usb3="00000000" w:csb0="00040000" w:csb1="00000000"/>
  </w:font>
  <w:font w:name="Tms Romn 15cpi">
    <w:altName w:val="Lucida Console"/>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长仿宋体">
    <w:altName w:val="仿宋"/>
    <w:panose1 w:val="02010600000101010101"/>
    <w:charset w:val="86"/>
    <w:family w:val="auto"/>
    <w:pitch w:val="default"/>
    <w:sig w:usb0="00000000" w:usb1="00000000" w:usb2="00000002"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华文琥珀">
    <w:panose1 w:val="02010800040101010101"/>
    <w:charset w:val="86"/>
    <w:family w:val="auto"/>
    <w:pitch w:val="default"/>
    <w:sig w:usb0="00000001" w:usb1="080F0000" w:usb2="00000000" w:usb3="00000000" w:csb0="00040000" w:csb1="00000000"/>
  </w:font>
  <w:font w:name="TimesNewRoman+ZDDJRv-1">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新宋体-18030">
    <w:altName w:val="宋体"/>
    <w:panose1 w:val="02010609060101010101"/>
    <w:charset w:val="86"/>
    <w:family w:val="auto"/>
    <w:pitch w:val="default"/>
    <w:sig w:usb0="00000000" w:usb1="00000000" w:usb2="000A005E" w:usb3="00000000" w:csb0="00040001" w:csb1="00000000"/>
  </w:font>
  <w:font w:name="Yu Gothic UI">
    <w:panose1 w:val="020B0500000000000000"/>
    <w:charset w:val="80"/>
    <w:family w:val="auto"/>
    <w:pitch w:val="default"/>
    <w:sig w:usb0="E00002FF" w:usb1="2AC7FDFF" w:usb2="00000016" w:usb3="00000000" w:csb0="2002009F" w:csb1="00000000"/>
  </w:font>
  <w:font w:name="Gabriola">
    <w:panose1 w:val="04040605051002020D02"/>
    <w:charset w:val="00"/>
    <w:family w:val="auto"/>
    <w:pitch w:val="default"/>
    <w:sig w:usb0="E00002EF" w:usb1="5000204B" w:usb2="00000000" w:usb3="00000000" w:csb0="2000009F" w:csb1="00000000"/>
  </w:font>
  <w:font w:name="Arial,Bold">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FuturaA Md BT">
    <w:altName w:val="Times New Roman"/>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Dutch801 Rm BT">
    <w:panose1 w:val="02020603060505020304"/>
    <w:charset w:val="00"/>
    <w:family w:val="roman"/>
    <w:pitch w:val="default"/>
    <w:sig w:usb0="00000000" w:usb1="00000000" w:usb2="00000000" w:usb3="00000000" w:csb0="00000000" w:csb1="00000000"/>
  </w:font>
  <w:font w:name="创艺简楷体">
    <w:altName w:val="黑体"/>
    <w:panose1 w:val="00000000000000000000"/>
    <w:charset w:val="86"/>
    <w:family w:val="auto"/>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Vrinda">
    <w:altName w:val="Segoe UI Symbol"/>
    <w:panose1 w:val="020B0502040204020203"/>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华文彩云">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若뗤퐪">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D879"/>
    <w:multiLevelType w:val="singleLevel"/>
    <w:tmpl w:val="5796D879"/>
    <w:lvl w:ilvl="0" w:tentative="0">
      <w:start w:val="1"/>
      <w:numFmt w:val="chineseCounting"/>
      <w:suff w:val="nothing"/>
      <w:lvlText w:val="%1、"/>
      <w:lvlJc w:val="left"/>
    </w:lvl>
  </w:abstractNum>
  <w:abstractNum w:abstractNumId="1">
    <w:nsid w:val="59A9450A"/>
    <w:multiLevelType w:val="singleLevel"/>
    <w:tmpl w:val="59A9450A"/>
    <w:lvl w:ilvl="0" w:tentative="0">
      <w:start w:val="4"/>
      <w:numFmt w:val="chineseCounting"/>
      <w:suff w:val="nothing"/>
      <w:lvlText w:val="%1、"/>
      <w:lvlJc w:val="left"/>
    </w:lvl>
  </w:abstractNum>
  <w:abstractNum w:abstractNumId="2">
    <w:nsid w:val="59C470EB"/>
    <w:multiLevelType w:val="singleLevel"/>
    <w:tmpl w:val="59C470EB"/>
    <w:lvl w:ilvl="0" w:tentative="0">
      <w:start w:val="1"/>
      <w:numFmt w:val="decimal"/>
      <w:suff w:val="nothing"/>
      <w:lvlText w:val="%1."/>
      <w:lvlJc w:val="left"/>
    </w:lvl>
  </w:abstractNum>
  <w:abstractNum w:abstractNumId="3">
    <w:nsid w:val="59EF1581"/>
    <w:multiLevelType w:val="singleLevel"/>
    <w:tmpl w:val="59EF1581"/>
    <w:lvl w:ilvl="0" w:tentative="0">
      <w:start w:val="2"/>
      <w:numFmt w:val="chineseCounting"/>
      <w:suff w:val="nothing"/>
      <w:lvlText w:val="%1、"/>
      <w:lvlJc w:val="left"/>
    </w:lvl>
  </w:abstractNum>
  <w:abstractNum w:abstractNumId="4">
    <w:nsid w:val="59EF2436"/>
    <w:multiLevelType w:val="singleLevel"/>
    <w:tmpl w:val="59EF2436"/>
    <w:lvl w:ilvl="0" w:tentative="0">
      <w:start w:val="1"/>
      <w:numFmt w:val="decimal"/>
      <w:lvlText w:val="%1."/>
      <w:lvlJc w:val="left"/>
      <w:pPr>
        <w:tabs>
          <w:tab w:val="left" w:pos="312"/>
        </w:tabs>
      </w:pPr>
    </w:lvl>
  </w:abstractNum>
  <w:abstractNum w:abstractNumId="5">
    <w:nsid w:val="5A167DE7"/>
    <w:multiLevelType w:val="singleLevel"/>
    <w:tmpl w:val="5A167DE7"/>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4FB"/>
    <w:rsid w:val="033D1113"/>
    <w:rsid w:val="053F674B"/>
    <w:rsid w:val="080F50B6"/>
    <w:rsid w:val="0BE32EEE"/>
    <w:rsid w:val="10292345"/>
    <w:rsid w:val="1D4F0B5F"/>
    <w:rsid w:val="204977FD"/>
    <w:rsid w:val="208826DA"/>
    <w:rsid w:val="22327FDD"/>
    <w:rsid w:val="279B21F9"/>
    <w:rsid w:val="2BB16219"/>
    <w:rsid w:val="2C222A13"/>
    <w:rsid w:val="2E823059"/>
    <w:rsid w:val="3F6A0F5A"/>
    <w:rsid w:val="40AB3B91"/>
    <w:rsid w:val="40DD2ED9"/>
    <w:rsid w:val="41A94DB4"/>
    <w:rsid w:val="427F7E5B"/>
    <w:rsid w:val="46494BA1"/>
    <w:rsid w:val="4FB40F7E"/>
    <w:rsid w:val="5101453B"/>
    <w:rsid w:val="5BFB61C8"/>
    <w:rsid w:val="5F6E3096"/>
    <w:rsid w:val="64806175"/>
    <w:rsid w:val="652461AF"/>
    <w:rsid w:val="65E74574"/>
    <w:rsid w:val="67786949"/>
    <w:rsid w:val="677B0557"/>
    <w:rsid w:val="6F760E5C"/>
    <w:rsid w:val="7C254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缘1420035709</cp:lastModifiedBy>
  <dcterms:modified xsi:type="dcterms:W3CDTF">2017-11-25T11:04:47Z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