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1162050</wp:posOffset>
            </wp:positionV>
            <wp:extent cx="1083945" cy="332105"/>
            <wp:effectExtent l="0" t="0" r="190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95250</wp:posOffset>
            </wp:positionV>
            <wp:extent cx="1066800" cy="1066800"/>
            <wp:effectExtent l="0" t="0" r="0" b="0"/>
            <wp:wrapSquare wrapText="bothSides"/>
            <wp:docPr id="5" name="图片 5" descr="C:\Users\DELL-N4050\Pictures\QQ图片2014082112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DELL-N4050\Pictures\QQ图片201408211233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default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编号：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NTRXT-01</w:t>
      </w:r>
    </w:p>
    <w:p>
      <w:pPr>
        <w:spacing w:before="1248" w:beforeLines="400" w:after="468" w:afterLines="150" w:line="480" w:lineRule="auto"/>
        <w:jc w:val="center"/>
        <w:rPr>
          <w:rFonts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监  理  月  报</w:t>
      </w:r>
    </w:p>
    <w:p>
      <w:pPr>
        <w:spacing w:before="312" w:beforeLines="100" w:after="468" w:afterLines="150" w:line="480" w:lineRule="auto"/>
        <w:jc w:val="center"/>
        <w:rPr>
          <w:rFonts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南通戎鑫投能源有限公司中奥车用新材料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1.3MW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分布式</w:t>
      </w: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光伏发电项目</w:t>
      </w:r>
    </w:p>
    <w:p>
      <w:pPr>
        <w:spacing w:before="156" w:beforeLines="50" w:after="156" w:afterLines="50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201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月第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01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期</w:t>
      </w:r>
    </w:p>
    <w:p>
      <w:pPr>
        <w:spacing w:before="468" w:beforeLines="150" w:after="468" w:afterLines="150"/>
        <w:ind w:firstLine="2850" w:firstLineChars="950"/>
        <w:rPr>
          <w:rFonts w:hint="eastAsia"/>
          <w:color w:val="000000" w:themeColor="text1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项目工程师：</w:t>
      </w:r>
      <w:r>
        <w:rPr>
          <w:rFonts w:hint="eastAsia"/>
          <w:color w:val="000000" w:themeColor="text1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刘士发</w:t>
      </w:r>
    </w:p>
    <w:p>
      <w:pPr>
        <w:spacing w:before="468" w:beforeLines="150" w:after="468" w:afterLines="150"/>
        <w:ind w:firstLine="2850" w:firstLineChars="950"/>
        <w:rPr>
          <w:rFonts w:hint="eastAsia"/>
          <w:color w:val="000000" w:themeColor="text1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before="468" w:beforeLines="150" w:after="468" w:afterLines="150"/>
        <w:ind w:firstLine="2850" w:firstLineChars="950"/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报告日期：201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监  理  月  报</w:t>
      </w:r>
    </w:p>
    <w:p>
      <w:pPr>
        <w:spacing w:before="312" w:beforeLines="100" w:after="468" w:afterLines="150" w:line="480" w:lineRule="auto"/>
        <w:jc w:val="center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南通戎鑫投能源有限公司中奥车用新材料</w:t>
      </w:r>
      <w:r>
        <w:rPr>
          <w:rFonts w:hint="eastAsia" w:asciiTheme="minorEastAsia" w:hAnsiTheme="minorEastAsia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1.3MW</w:t>
      </w:r>
      <w:r>
        <w:rPr>
          <w:rFonts w:hint="eastAsia" w:asciiTheme="minorEastAsia" w:hAnsiTheme="minorEastAsia"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分布式</w:t>
      </w:r>
      <w:r>
        <w:rPr>
          <w:rFonts w:hint="eastAsia" w:asciiTheme="minorEastAsia" w:hAnsiTheme="minorEastAsia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光伏发电项目</w:t>
      </w:r>
    </w:p>
    <w:p>
      <w:pPr>
        <w:spacing w:before="312" w:beforeLines="100" w:after="468" w:afterLines="150" w:line="480" w:lineRule="auto"/>
        <w:jc w:val="both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月报开始时间</w:t>
      </w:r>
      <w:r>
        <w:rPr>
          <w:rFonts w:hint="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201</w:t>
      </w:r>
      <w:r>
        <w:rPr>
          <w:rFonts w:hint="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结束日期</w:t>
      </w:r>
      <w:r>
        <w:rPr>
          <w:rFonts w:hint="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201</w:t>
      </w:r>
      <w:r>
        <w:rPr>
          <w:rFonts w:hint="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31 </w:t>
      </w:r>
      <w:r>
        <w:rPr>
          <w:rFonts w:hint="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before="312" w:beforeLines="100" w:after="468" w:afterLines="150" w:line="480" w:lineRule="auto"/>
        <w:jc w:val="both"/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监理单位：</w:t>
      </w:r>
      <w:r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常州正衡电力工程监理有限公司 </w:t>
      </w:r>
    </w:p>
    <w:p>
      <w:pPr>
        <w:spacing w:before="312" w:beforeLines="100" w:after="468" w:afterLines="150" w:line="480" w:lineRule="auto"/>
        <w:jc w:val="both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一、工程影像资料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1985"/>
        <w:gridCol w:w="1276"/>
        <w:gridCol w:w="1134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单位工程标准名称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施工项目名称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资料类型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资料数量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南通戎鑫投能源有限公司中奥车用新材料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1.3MW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分布式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光伏发电项目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影像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监理重点工作情况</w:t>
      </w:r>
    </w:p>
    <w:tbl>
      <w:tblPr>
        <w:tblStyle w:val="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777"/>
        <w:gridCol w:w="4404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77" w:type="dxa"/>
            <w:vAlign w:val="center"/>
          </w:tcPr>
          <w:p>
            <w:pPr>
              <w:spacing w:line="360" w:lineRule="auto"/>
              <w:ind w:firstLine="420" w:firstLineChars="200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4404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restart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进度</w:t>
            </w:r>
          </w:p>
        </w:tc>
        <w:tc>
          <w:tcPr>
            <w:tcW w:w="1777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4404" w:type="dxa"/>
            <w:vAlign w:val="center"/>
          </w:tcPr>
          <w:p>
            <w:pPr>
              <w:spacing w:line="360" w:lineRule="auto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本月完成支架、组件、逆变器的安装，环网接地完成80%，电缆桥架完成70%，直流电缆敷设完成70%。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完成全额并网、竣工验收及相关资料的完善移交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设备交付进度</w:t>
            </w:r>
          </w:p>
        </w:tc>
        <w:tc>
          <w:tcPr>
            <w:tcW w:w="4404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并网柜已就位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安装、调试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设计交付进度</w:t>
            </w:r>
          </w:p>
        </w:tc>
        <w:tc>
          <w:tcPr>
            <w:tcW w:w="4404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图纸完成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质量体系运作情况</w:t>
            </w:r>
          </w:p>
        </w:tc>
        <w:tc>
          <w:tcPr>
            <w:tcW w:w="4404" w:type="dxa"/>
            <w:vAlign w:val="center"/>
          </w:tcPr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质量体系健全，运行良好落实质量保证体系，并对运行情况进行检查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施工图会审</w:t>
            </w:r>
          </w:p>
        </w:tc>
        <w:tc>
          <w:tcPr>
            <w:tcW w:w="4404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未见纸质版图纸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设计交底</w:t>
            </w:r>
          </w:p>
        </w:tc>
        <w:tc>
          <w:tcPr>
            <w:tcW w:w="4404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方案审查</w:t>
            </w:r>
          </w:p>
        </w:tc>
        <w:tc>
          <w:tcPr>
            <w:tcW w:w="4404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未交付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提交相关报审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技术交底</w:t>
            </w:r>
          </w:p>
        </w:tc>
        <w:tc>
          <w:tcPr>
            <w:tcW w:w="4404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设计变更</w:t>
            </w:r>
          </w:p>
        </w:tc>
        <w:tc>
          <w:tcPr>
            <w:tcW w:w="4404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1777" w:type="dxa"/>
            <w:vAlign w:val="center"/>
          </w:tcPr>
          <w:p>
            <w:pPr>
              <w:tabs>
                <w:tab w:val="left" w:pos="990"/>
              </w:tabs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安全培训情况</w:t>
            </w:r>
          </w:p>
        </w:tc>
        <w:tc>
          <w:tcPr>
            <w:tcW w:w="4404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进场员工已进行安全培训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安全交底情况</w:t>
            </w:r>
          </w:p>
        </w:tc>
        <w:tc>
          <w:tcPr>
            <w:tcW w:w="4404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督促施工单位对危险作业点进行班前交底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安全措施落实情况</w:t>
            </w:r>
          </w:p>
        </w:tc>
        <w:tc>
          <w:tcPr>
            <w:tcW w:w="4404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落实不彻底，已要求施工单位认真落实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检查现场存在的安全隐患，发现问题及时整改。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安全文明施工情况</w:t>
            </w:r>
          </w:p>
        </w:tc>
        <w:tc>
          <w:tcPr>
            <w:tcW w:w="4404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现场安全、文明措施良好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加强现场安全管理力度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882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质量</w:t>
            </w:r>
          </w:p>
        </w:tc>
        <w:tc>
          <w:tcPr>
            <w:tcW w:w="1777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主要工序质量</w:t>
            </w:r>
          </w:p>
        </w:tc>
        <w:tc>
          <w:tcPr>
            <w:tcW w:w="4404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跟踪监督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主要原材料质量</w:t>
            </w:r>
          </w:p>
        </w:tc>
        <w:tc>
          <w:tcPr>
            <w:tcW w:w="4404" w:type="dxa"/>
            <w:vAlign w:val="center"/>
          </w:tcPr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电缆外观质量合格。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支架外观检查合格。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组件观感质量合格；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组件、逆变器、并网柜进行开箱检查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构（配）件质量</w:t>
            </w:r>
          </w:p>
        </w:tc>
        <w:tc>
          <w:tcPr>
            <w:tcW w:w="4404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进场材料质量合格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设备质量</w:t>
            </w:r>
          </w:p>
        </w:tc>
        <w:tc>
          <w:tcPr>
            <w:tcW w:w="4404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符合国家标准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质量验评情况</w:t>
            </w:r>
          </w:p>
        </w:tc>
        <w:tc>
          <w:tcPr>
            <w:tcW w:w="4404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工序施工符合要求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加强过程检查力度，加大工序报验抽查力度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投资</w:t>
            </w:r>
          </w:p>
        </w:tc>
        <w:tc>
          <w:tcPr>
            <w:tcW w:w="1777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资金情况</w:t>
            </w:r>
          </w:p>
        </w:tc>
        <w:tc>
          <w:tcPr>
            <w:tcW w:w="4404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款项支付情况</w:t>
            </w:r>
          </w:p>
        </w:tc>
        <w:tc>
          <w:tcPr>
            <w:tcW w:w="440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预算外签证</w:t>
            </w:r>
          </w:p>
        </w:tc>
        <w:tc>
          <w:tcPr>
            <w:tcW w:w="4404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合同</w:t>
            </w:r>
          </w:p>
        </w:tc>
        <w:tc>
          <w:tcPr>
            <w:tcW w:w="1777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合同签订情况</w:t>
            </w:r>
          </w:p>
        </w:tc>
        <w:tc>
          <w:tcPr>
            <w:tcW w:w="4404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施工合同签订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合同执行情况</w:t>
            </w:r>
          </w:p>
        </w:tc>
        <w:tc>
          <w:tcPr>
            <w:tcW w:w="4404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按合同执行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做好合同执行工作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4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本月进度情况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本月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对现场支架、组件、桥架、直流电缆、环网接地的安装以及消缺整改，由于施工材料进场滞后和材料预算不足，二次采购不能及时到货，导致工期延误。</w:t>
      </w:r>
    </w:p>
    <w:p>
      <w:pPr>
        <w:pStyle w:val="9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下月进度计划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402"/>
        <w:gridCol w:w="4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进度管理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督促施工单位优化人、机、料等资源配置，充分调动施工人员的积极性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完成全额并网、附件安装、设备调试、消缺、整改工作，完善施工资料移交。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督促施工单位报审《安全文明施工管理制度》，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定期对现场进行安全检查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 对施工人员进行安全培训，提高作业人员安全防范意识，落实安全文明施工措施。审查施工项目部&lt;&lt;安全文明措施&gt;&gt;及施工项目部施工安全管理人员、特殊工种、特殊作业人员资格证明文件，实施安全监理，发现问题及时提出整改要求并限期改正。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每天班前安全教育，不定期进行现场检查监督，发现问题立即整改。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质量管理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组件到场进行开箱检查；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对重点部位重点工序进行旁站并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监督施工项目部落实强制性条文的执行计划。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按照规范、合同要求严格把控质量关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技术管理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督促施工单位对施工人员进行技术交底，现场检查施工人员是否按照技术交底内容进行施工。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对现场电气重点部位关键工序进行现场指导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造价管理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物资供应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>
      <w:pPr>
        <w:spacing w:before="1092" w:beforeLines="350" w:line="360" w:lineRule="auto"/>
        <w:jc w:val="both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常州正衡电力工程监理有限公司</w:t>
      </w:r>
    </w:p>
    <w:p>
      <w:pPr>
        <w:spacing w:line="240" w:lineRule="auto"/>
        <w:jc w:val="center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南通戎鑫投能源有限公司中奥车用新材料1.3MW分布式</w:t>
      </w:r>
    </w:p>
    <w:p>
      <w:pPr>
        <w:spacing w:line="240" w:lineRule="auto"/>
        <w:jc w:val="center"/>
        <w:rPr>
          <w:rFonts w:hint="eastAsia" w:asciiTheme="minorEastAsia" w:hAnsiTheme="minorEastAsia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光伏发电监理项目部</w:t>
      </w:r>
    </w:p>
    <w:p>
      <w:pPr>
        <w:spacing w:line="240" w:lineRule="auto"/>
        <w:jc w:val="center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spacing w:line="240" w:lineRule="auto"/>
        <w:jc w:val="both"/>
        <w:rPr>
          <w:rFonts w:hint="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05218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74782"/>
    <w:multiLevelType w:val="multilevel"/>
    <w:tmpl w:val="25E74782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7"/>
    <w:rsid w:val="00011723"/>
    <w:rsid w:val="00077CC1"/>
    <w:rsid w:val="00097764"/>
    <w:rsid w:val="00141B91"/>
    <w:rsid w:val="00144C26"/>
    <w:rsid w:val="00155D85"/>
    <w:rsid w:val="00236CF4"/>
    <w:rsid w:val="00285532"/>
    <w:rsid w:val="00392D99"/>
    <w:rsid w:val="003A5A33"/>
    <w:rsid w:val="003A5D2F"/>
    <w:rsid w:val="003F2278"/>
    <w:rsid w:val="00471426"/>
    <w:rsid w:val="00502559"/>
    <w:rsid w:val="00610000"/>
    <w:rsid w:val="00624B5B"/>
    <w:rsid w:val="007C51F9"/>
    <w:rsid w:val="00812E5F"/>
    <w:rsid w:val="00890A11"/>
    <w:rsid w:val="008960B9"/>
    <w:rsid w:val="00914097"/>
    <w:rsid w:val="00940405"/>
    <w:rsid w:val="00940639"/>
    <w:rsid w:val="00982770"/>
    <w:rsid w:val="009D775B"/>
    <w:rsid w:val="009F1FCB"/>
    <w:rsid w:val="00A54B17"/>
    <w:rsid w:val="00A7236B"/>
    <w:rsid w:val="00AA2FFC"/>
    <w:rsid w:val="00AD701C"/>
    <w:rsid w:val="00B327D6"/>
    <w:rsid w:val="00B41BAE"/>
    <w:rsid w:val="00B86917"/>
    <w:rsid w:val="00BD6F84"/>
    <w:rsid w:val="00CA6B9A"/>
    <w:rsid w:val="00CB0F9B"/>
    <w:rsid w:val="00D858ED"/>
    <w:rsid w:val="00DC684A"/>
    <w:rsid w:val="00EB1CD3"/>
    <w:rsid w:val="00F20C3B"/>
    <w:rsid w:val="00F7297C"/>
    <w:rsid w:val="00F85F8E"/>
    <w:rsid w:val="00FD4BE9"/>
    <w:rsid w:val="045808C7"/>
    <w:rsid w:val="0D830EA6"/>
    <w:rsid w:val="0E1867C8"/>
    <w:rsid w:val="11013837"/>
    <w:rsid w:val="11A0337E"/>
    <w:rsid w:val="1AB8229E"/>
    <w:rsid w:val="1EB11C69"/>
    <w:rsid w:val="1F8326BC"/>
    <w:rsid w:val="24186FBC"/>
    <w:rsid w:val="26147DE0"/>
    <w:rsid w:val="2F0A60A5"/>
    <w:rsid w:val="34C26F7D"/>
    <w:rsid w:val="3755539B"/>
    <w:rsid w:val="37F8284F"/>
    <w:rsid w:val="38BF4998"/>
    <w:rsid w:val="3CA1135A"/>
    <w:rsid w:val="3D185281"/>
    <w:rsid w:val="4194536F"/>
    <w:rsid w:val="45557E0F"/>
    <w:rsid w:val="4B4B2A69"/>
    <w:rsid w:val="4D8D407F"/>
    <w:rsid w:val="4EBE1630"/>
    <w:rsid w:val="4FF162DD"/>
    <w:rsid w:val="561D36BE"/>
    <w:rsid w:val="56F905B2"/>
    <w:rsid w:val="56FA5A54"/>
    <w:rsid w:val="5C116D80"/>
    <w:rsid w:val="6976022A"/>
    <w:rsid w:val="6A6B5CB2"/>
    <w:rsid w:val="6E511395"/>
    <w:rsid w:val="70EB5B94"/>
    <w:rsid w:val="74684848"/>
    <w:rsid w:val="755325D9"/>
    <w:rsid w:val="76A55366"/>
    <w:rsid w:val="797A074D"/>
    <w:rsid w:val="7D3009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741834-C429-4566-8314-903C6EA910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1744</Words>
  <Characters>1821</Characters>
  <Lines>17</Lines>
  <Paragraphs>4</Paragraphs>
  <TotalTime>156</TotalTime>
  <ScaleCrop>false</ScaleCrop>
  <LinksUpToDate>false</LinksUpToDate>
  <CharactersWithSpaces>1883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2014-08-21T07:50:00Z</dcterms:created>
  <dc:creator>DELL-N4050</dc:creator>
  <cp:lastModifiedBy>轻描淡写</cp:lastModifiedBy>
  <cp:lastPrinted>2014-08-21T04:40:00Z</cp:lastPrinted>
  <dcterms:modified xsi:type="dcterms:W3CDTF">2019-12-31T13:18:44Z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