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opLinePunct/>
        <w:ind w:firstLine="425"/>
        <w:rPr>
          <w:szCs w:val="21"/>
        </w:rPr>
      </w:pPr>
      <w:bookmarkStart w:id="0" w:name="_Toc388020196"/>
    </w:p>
    <w:p>
      <w:pPr>
        <w:tabs>
          <w:tab w:val="left" w:pos="6237"/>
        </w:tabs>
        <w:topLinePunct/>
        <w:ind w:firstLine="425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                                    </w:t>
      </w:r>
    </w:p>
    <w:p>
      <w:pPr>
        <w:topLinePunct/>
        <w:ind w:firstLine="425"/>
        <w:rPr>
          <w:szCs w:val="21"/>
        </w:rPr>
      </w:pPr>
    </w:p>
    <w:p>
      <w:pPr>
        <w:topLinePunct/>
        <w:ind w:firstLine="425"/>
        <w:rPr>
          <w:szCs w:val="21"/>
        </w:rPr>
      </w:pPr>
      <w:r>
        <w:rPr>
          <w:rFonts w:hint="eastAsia"/>
          <w:color w:val="FF000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161925</wp:posOffset>
            </wp:positionH>
            <wp:positionV relativeFrom="paragraph">
              <wp:posOffset>-697230</wp:posOffset>
            </wp:positionV>
            <wp:extent cx="1066800" cy="1066800"/>
            <wp:effectExtent l="0" t="0" r="0" b="0"/>
            <wp:wrapSquare wrapText="bothSides"/>
            <wp:docPr id="1" name="图片 1" descr="C:\Users\DELL-N4050\Pictures\QQ图片20140821123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DELL-N4050\Pictures\QQ图片2014082112333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Cs w:val="21"/>
        </w:rPr>
        <w:t xml:space="preserve"> </w:t>
      </w:r>
    </w:p>
    <w:p>
      <w:pPr>
        <w:pStyle w:val="12"/>
        <w:jc w:val="both"/>
        <w:rPr>
          <w:b/>
          <w:bCs/>
          <w:sz w:val="36"/>
          <w:szCs w:val="36"/>
        </w:rPr>
      </w:pPr>
      <w:r>
        <w:rPr>
          <w:color w:val="FF0000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-1181100</wp:posOffset>
            </wp:positionH>
            <wp:positionV relativeFrom="paragraph">
              <wp:posOffset>171450</wp:posOffset>
            </wp:positionV>
            <wp:extent cx="1083945" cy="332105"/>
            <wp:effectExtent l="0" t="0" r="1905" b="10795"/>
            <wp:wrapSquare wrapText="bothSides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332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 xml:space="preserve">      </w:t>
      </w:r>
      <w:r>
        <w:rPr>
          <w:rFonts w:hint="eastAsia"/>
          <w:b/>
          <w:bCs/>
          <w:sz w:val="36"/>
          <w:szCs w:val="36"/>
        </w:rPr>
        <w:t xml:space="preserve"> </w:t>
      </w:r>
    </w:p>
    <w:p>
      <w:pPr>
        <w:pStyle w:val="12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监  理  月  报</w:t>
      </w:r>
    </w:p>
    <w:p>
      <w:pPr>
        <w:widowControl/>
        <w:jc w:val="left"/>
        <w:rPr>
          <w:rFonts w:ascii="Times New Roman" w:hAnsi="Times New Roman" w:cs="Times New Roman"/>
          <w:sz w:val="30"/>
          <w:szCs w:val="30"/>
        </w:rPr>
      </w:pPr>
      <w:r>
        <w:rPr>
          <w:rFonts w:hint="eastAsia" w:asciiTheme="minorEastAsia" w:hAnsiTheme="minorEastAsia" w:cstheme="minorEastAsia"/>
          <w:sz w:val="28"/>
          <w:szCs w:val="28"/>
        </w:rPr>
        <w:t>工程名称：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杭州普枫新能源杭州物流园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1.5MWp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杭州普枫新能源临江物流园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杭州普枫新能源临江南物流园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0.85MWp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嘉兴市普枫新能源有限责任公司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1.6MWp（平嘉仓储）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</w:p>
    <w:p>
      <w:pPr>
        <w:widowControl/>
        <w:ind w:firstLine="300" w:firstLineChars="100"/>
        <w:jc w:val="center"/>
        <w:rPr>
          <w:rFonts w:ascii="Times New Roman" w:hAnsi="Times New Roman" w:cs="Times New Roman"/>
          <w:sz w:val="30"/>
          <w:szCs w:val="30"/>
        </w:rPr>
      </w:pPr>
    </w:p>
    <w:p>
      <w:pPr>
        <w:widowControl/>
        <w:ind w:firstLine="300" w:firstLineChars="100"/>
        <w:jc w:val="center"/>
        <w:rPr>
          <w:rFonts w:ascii="Times New Roman" w:hAnsi="Times New Roman" w:cs="Times New Roman"/>
          <w:sz w:val="30"/>
          <w:szCs w:val="30"/>
        </w:rPr>
      </w:pPr>
    </w:p>
    <w:p>
      <w:pPr>
        <w:topLinePunct/>
        <w:ind w:firstLine="425"/>
        <w:jc w:val="center"/>
        <w:rPr>
          <w:rFonts w:asciiTheme="majorEastAsia" w:hAnsiTheme="majorEastAsia" w:eastAsiaTheme="majorEastAsia" w:cstheme="majorEastAsia"/>
          <w:sz w:val="30"/>
          <w:szCs w:val="30"/>
        </w:rPr>
      </w:pPr>
      <w:r>
        <w:rPr>
          <w:rFonts w:hint="eastAsia" w:asciiTheme="majorEastAsia" w:hAnsiTheme="majorEastAsia" w:eastAsiaTheme="majorEastAsia" w:cstheme="majorEastAsia"/>
          <w:sz w:val="30"/>
          <w:szCs w:val="30"/>
        </w:rPr>
        <w:t>第0</w:t>
      </w:r>
      <w:r>
        <w:rPr>
          <w:rFonts w:hint="eastAsia" w:asciiTheme="majorEastAsia" w:hAnsiTheme="majorEastAsia" w:eastAsiaTheme="majorEastAsia" w:cstheme="majorEastAsia"/>
          <w:sz w:val="30"/>
          <w:szCs w:val="30"/>
          <w:lang w:val="en-US" w:eastAsia="zh-CN"/>
        </w:rPr>
        <w:t>1</w:t>
      </w:r>
      <w:r>
        <w:rPr>
          <w:rFonts w:hint="eastAsia" w:asciiTheme="majorEastAsia" w:hAnsiTheme="majorEastAsia" w:eastAsiaTheme="majorEastAsia" w:cstheme="majorEastAsia"/>
          <w:sz w:val="30"/>
          <w:szCs w:val="30"/>
        </w:rPr>
        <w:t>期</w:t>
      </w:r>
    </w:p>
    <w:p>
      <w:pPr>
        <w:topLinePunct/>
        <w:ind w:firstLine="425"/>
        <w:jc w:val="center"/>
        <w:rPr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30"/>
          <w:szCs w:val="30"/>
        </w:rPr>
        <w:t>（2020年</w:t>
      </w:r>
      <w:r>
        <w:rPr>
          <w:rFonts w:hint="eastAsia" w:asciiTheme="majorEastAsia" w:hAnsiTheme="majorEastAsia" w:eastAsiaTheme="majorEastAsia" w:cstheme="majorEastAsia"/>
          <w:sz w:val="30"/>
          <w:szCs w:val="30"/>
          <w:lang w:val="en-US" w:eastAsia="zh-CN"/>
        </w:rPr>
        <w:t>4</w:t>
      </w:r>
      <w:r>
        <w:rPr>
          <w:rFonts w:hint="eastAsia" w:asciiTheme="majorEastAsia" w:hAnsiTheme="majorEastAsia" w:eastAsiaTheme="majorEastAsia" w:cstheme="majorEastAsia"/>
          <w:sz w:val="30"/>
          <w:szCs w:val="30"/>
        </w:rPr>
        <w:t>月1日---2020年</w:t>
      </w:r>
      <w:r>
        <w:rPr>
          <w:rFonts w:hint="eastAsia" w:asciiTheme="majorEastAsia" w:hAnsiTheme="majorEastAsia" w:eastAsiaTheme="majorEastAsia" w:cstheme="majorEastAsia"/>
          <w:sz w:val="30"/>
          <w:szCs w:val="30"/>
          <w:lang w:val="en-US" w:eastAsia="zh-CN"/>
        </w:rPr>
        <w:t>4</w:t>
      </w:r>
      <w:r>
        <w:rPr>
          <w:rFonts w:hint="eastAsia" w:asciiTheme="majorEastAsia" w:hAnsiTheme="majorEastAsia" w:eastAsiaTheme="majorEastAsia" w:cstheme="majorEastAsia"/>
          <w:sz w:val="30"/>
          <w:szCs w:val="30"/>
        </w:rPr>
        <w:t>月3</w:t>
      </w:r>
      <w:r>
        <w:rPr>
          <w:rFonts w:hint="eastAsia" w:asciiTheme="majorEastAsia" w:hAnsiTheme="majorEastAsia" w:eastAsiaTheme="majorEastAsia" w:cstheme="majorEastAsia"/>
          <w:sz w:val="30"/>
          <w:szCs w:val="30"/>
          <w:lang w:val="en-US" w:eastAsia="zh-CN"/>
        </w:rPr>
        <w:t>0</w:t>
      </w:r>
      <w:r>
        <w:rPr>
          <w:rFonts w:hint="eastAsia" w:asciiTheme="majorEastAsia" w:hAnsiTheme="majorEastAsia" w:eastAsiaTheme="majorEastAsia" w:cstheme="majorEastAsia"/>
          <w:sz w:val="30"/>
          <w:szCs w:val="30"/>
        </w:rPr>
        <w:t>日）</w:t>
      </w:r>
    </w:p>
    <w:p>
      <w:pPr>
        <w:topLinePunct/>
        <w:ind w:firstLine="425"/>
        <w:jc w:val="center"/>
        <w:rPr>
          <w:sz w:val="28"/>
          <w:szCs w:val="28"/>
        </w:rPr>
      </w:pPr>
    </w:p>
    <w:p>
      <w:pPr>
        <w:topLinePunct/>
        <w:ind w:firstLine="425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</w:t>
      </w:r>
    </w:p>
    <w:p>
      <w:pPr>
        <w:topLinePunct/>
        <w:rPr>
          <w:szCs w:val="21"/>
        </w:rPr>
      </w:pPr>
    </w:p>
    <w:p>
      <w:pPr>
        <w:topLinePunct/>
        <w:ind w:firstLine="425"/>
        <w:rPr>
          <w:szCs w:val="21"/>
        </w:rPr>
      </w:pPr>
    </w:p>
    <w:p>
      <w:pPr>
        <w:topLinePunct/>
        <w:ind w:firstLine="425"/>
        <w:rPr>
          <w:szCs w:val="21"/>
        </w:rPr>
      </w:pPr>
    </w:p>
    <w:p>
      <w:pPr>
        <w:topLinePunct/>
        <w:ind w:firstLine="3080" w:firstLineChars="110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提交部门：监理项目部</w:t>
      </w:r>
    </w:p>
    <w:p>
      <w:pPr>
        <w:topLinePunct/>
        <w:ind w:firstLine="3080" w:firstLineChars="11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编    制：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吴桥生</w:t>
      </w:r>
    </w:p>
    <w:p>
      <w:pPr>
        <w:topLinePunct/>
        <w:ind w:firstLine="3080" w:firstLineChars="110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签    发：于彬</w:t>
      </w:r>
    </w:p>
    <w:p>
      <w:pPr>
        <w:topLinePunct/>
        <w:ind w:firstLine="3080" w:firstLineChars="1100"/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8"/>
          <w:szCs w:val="28"/>
        </w:rPr>
        <w:t>报告日期：2020.0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sz w:val="28"/>
          <w:szCs w:val="28"/>
        </w:rPr>
        <w:t>.3</w:t>
      </w:r>
      <w:bookmarkEnd w:id="0"/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0</w:t>
      </w:r>
    </w:p>
    <w:p>
      <w:pPr>
        <w:jc w:val="center"/>
        <w:rPr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240" w:lineRule="exact"/>
        <w:rPr>
          <w:rFonts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工程名称：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杭州普枫新能源杭州物流园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1.5MWp分布式光伏发电项目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杭州普枫新能源临江物流园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1MWp分布式光伏发电项目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杭州普枫新能源临江南物流园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0.85MWp分布式光伏发电项目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嘉兴市普枫新能源有限责任公司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1.6MWp（平嘉仓储）分布式光伏发电项目</w:t>
      </w:r>
    </w:p>
    <w:p>
      <w:pPr>
        <w:spacing w:before="312" w:beforeLines="100" w:after="468" w:afterLines="150" w:line="240" w:lineRule="exact"/>
        <w:rPr>
          <w:rFonts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月次 第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次   </w:t>
      </w:r>
    </w:p>
    <w:p>
      <w:pPr>
        <w:spacing w:before="312" w:beforeLines="100" w:after="468" w:afterLines="150" w:line="240" w:lineRule="exact"/>
        <w:jc w:val="left"/>
        <w:rPr>
          <w:rFonts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月报开始时间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2020年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月1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:lang w:eastAsia="zh-CN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结束日期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2020年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月3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before="312" w:beforeLines="100" w:after="468" w:afterLines="150" w:line="240" w:lineRule="exact"/>
        <w:rPr>
          <w:rFonts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监理单位：</w:t>
      </w:r>
      <w:r>
        <w:rPr>
          <w:rFonts w:hint="eastAsia" w:asciiTheme="majorEastAsia" w:hAnsiTheme="majorEastAsia" w:eastAsiaTheme="majorEastAsia" w:cstheme="majorEastAsia"/>
          <w:b/>
          <w:bCs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常州正衡电力工程监理有限公司 </w:t>
      </w:r>
    </w:p>
    <w:p>
      <w:pPr>
        <w:spacing w:before="312" w:beforeLines="100" w:after="468" w:afterLines="150" w:line="480" w:lineRule="auto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一、工程影像资料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2268"/>
        <w:gridCol w:w="1985"/>
        <w:gridCol w:w="1276"/>
        <w:gridCol w:w="1134"/>
        <w:gridCol w:w="11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268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单位工程标准名称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</w:t>
            </w:r>
            <w:r>
              <w:rPr>
                <w:rFonts w:hint="eastAsia"/>
                <w:color w:val="000000" w:themeColor="text1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资料类型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资料数量</w:t>
            </w:r>
          </w:p>
        </w:tc>
        <w:tc>
          <w:tcPr>
            <w:tcW w:w="118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2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5"/>
                <w:szCs w:val="15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杭州普枫新能源杭州物流园</w:t>
            </w:r>
            <w:r>
              <w:rPr>
                <w:rFonts w:hint="eastAsia"/>
                <w:color w:val="000000" w:themeColor="text1"/>
                <w:sz w:val="15"/>
                <w:szCs w:val="15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1.5MWp分布式光伏发电项目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阳光电源股份有限公司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张</w:t>
            </w:r>
          </w:p>
        </w:tc>
        <w:tc>
          <w:tcPr>
            <w:tcW w:w="118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268" w:type="dxa"/>
            <w:vAlign w:val="center"/>
          </w:tcPr>
          <w:p>
            <w:pPr>
              <w:rPr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5"/>
                <w:szCs w:val="15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杭州普枫新能源临江物流园</w:t>
            </w:r>
            <w:r>
              <w:rPr>
                <w:rFonts w:hint="eastAsia"/>
                <w:color w:val="000000" w:themeColor="text1"/>
                <w:sz w:val="15"/>
                <w:szCs w:val="15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1MWp分布式光伏发电项目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阳光电源股份有限公司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268" w:type="dxa"/>
            <w:vAlign w:val="center"/>
          </w:tcPr>
          <w:p>
            <w:pPr>
              <w:rPr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5"/>
                <w:szCs w:val="15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杭州普枫新能源临江南物流园</w:t>
            </w:r>
            <w:r>
              <w:rPr>
                <w:rFonts w:hint="eastAsia"/>
                <w:color w:val="000000" w:themeColor="text1"/>
                <w:sz w:val="15"/>
                <w:szCs w:val="15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0.85MWp分布式光伏发电项目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阳光电源股份有限公司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268" w:type="dxa"/>
            <w:vAlign w:val="center"/>
          </w:tcPr>
          <w:p>
            <w:pPr>
              <w:rPr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5"/>
                <w:szCs w:val="15"/>
                <w:lang w:eastAsia="zh-CN"/>
                <w14:textFill>
                  <w14:solidFill>
                    <w14:schemeClr w14:val="tx1"/>
                  </w14:solidFill>
                </w14:textFill>
              </w:rPr>
              <w:t>嘉兴市普枫新能源有限责任公司</w:t>
            </w:r>
            <w:r>
              <w:rPr>
                <w:rFonts w:hint="eastAsia"/>
                <w:color w:val="000000" w:themeColor="text1"/>
                <w:sz w:val="15"/>
                <w:szCs w:val="15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1.6MWp（平嘉仓储）分布式光伏发电项目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阳光电源股份有限公司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、监理重点工作情况</w:t>
      </w:r>
    </w:p>
    <w:tbl>
      <w:tblPr>
        <w:tblStyle w:val="6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4880"/>
        <w:gridCol w:w="1465"/>
        <w:gridCol w:w="1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7" w:hRule="atLeast"/>
        </w:trPr>
        <w:tc>
          <w:tcPr>
            <w:tcW w:w="71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1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4880" w:type="dxa"/>
            <w:vAlign w:val="center"/>
          </w:tcPr>
          <w:p>
            <w:pPr>
              <w:tabs>
                <w:tab w:val="left" w:pos="271"/>
              </w:tabs>
              <w:spacing w:line="360" w:lineRule="auto"/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21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1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1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3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rFonts w:hint="default" w:eastAsiaTheme="minorEastAsia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进度</w:t>
            </w:r>
          </w:p>
        </w:tc>
        <w:tc>
          <w:tcPr>
            <w:tcW w:w="4880" w:type="dxa"/>
            <w:vAlign w:val="top"/>
          </w:tcPr>
          <w:p>
            <w:pPr>
              <w:spacing w:line="360" w:lineRule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drawing>
                <wp:inline distT="0" distB="0" distL="114300" distR="114300">
                  <wp:extent cx="2623820" cy="2586355"/>
                  <wp:effectExtent l="0" t="0" r="5080" b="4445"/>
                  <wp:docPr id="13" name="图片 13" descr="20200422-1455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20200422-145506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3820" cy="2586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jc w:val="both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639695" cy="2122170"/>
                  <wp:effectExtent l="0" t="0" r="8255" b="11430"/>
                  <wp:docPr id="2" name="图片 2" descr="20200429-112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20200429-112008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9695" cy="2122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646045" cy="2461895"/>
                  <wp:effectExtent l="0" t="0" r="1905" b="14605"/>
                  <wp:docPr id="14" name="图片 14" descr="360b5c76bb36aafa76fdb0594e437c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4" descr="360b5c76bb36aafa76fdb0594e437c4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6045" cy="24618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1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杭州物流园南区B1、B2支架安装100%。 </w:t>
            </w:r>
          </w:p>
          <w:p>
            <w:pPr>
              <w:numPr>
                <w:ilvl w:val="0"/>
                <w:numId w:val="1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临江物流园B2厂房结构加固安装68%。         3、临江南物流园A2夹具安装50%。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1、杭州物流园南区B1、B2屋顶组件安装，北区A2屋顶结构待加固。</w:t>
            </w:r>
          </w:p>
          <w:p>
            <w:p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2、临江物流园B2加固验收，光伏屋面申请施工。 </w:t>
            </w:r>
          </w:p>
          <w:p>
            <w:p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3、临江南物流园A2、A3屋面支架及组件安装。</w:t>
            </w:r>
          </w:p>
          <w:p>
            <w:p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4、嘉兴物流园仓库2、3结构加固安装。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设备交付进度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支架及配件部分到货。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剩余材料到货。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设计交付进度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电子图完成。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蓝图完成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质量体系运作情况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质量体系健全，运行良好。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落实质量保证体系，并对运行情况进行检查。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部分已进行。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设计交底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部分已进行。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方案审查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督促施工单位按方案执行。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技术交底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部分已进行。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设计变更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</w:t>
            </w: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安全培训情况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新进场员工已进行安全培训。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督促施工单位对进场新员工进行安全教育。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安全交底情况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督促施工单位对危险作业点进行班前交底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继续督促施工单位进行班前交底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安全措施落实情况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落实不彻底，已要求施工单位认真落实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监督施工单位认真落实安全措施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安全文明施工情况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现场安全、文明措施良好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加强现场安全管理力度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主要工序质量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主要原材料质量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桥架外观检查合格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对主要材料进行检查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构（配）件质量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进场材料质量合格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把控好进场材料质量关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设备质量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逆变器外观检查合格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进行进场报验、开箱检查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质量验评情况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工序施工基本符合要求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加强过程检查力度，加大工序报验抽查力度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718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资金情况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款项支付情况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预算外签证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合同</w:t>
            </w: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合同签订情况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施工合同签订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合同执行情况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按合同执行</w:t>
            </w:r>
          </w:p>
        </w:tc>
        <w:tc>
          <w:tcPr>
            <w:tcW w:w="1465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做好合同执行工作</w:t>
            </w:r>
          </w:p>
        </w:tc>
      </w:tr>
    </w:tbl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三、本月进度情况</w:t>
      </w:r>
    </w:p>
    <w:tbl>
      <w:tblPr>
        <w:tblStyle w:val="6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6"/>
        <w:gridCol w:w="1037"/>
        <w:gridCol w:w="1053"/>
        <w:gridCol w:w="1085"/>
        <w:gridCol w:w="1037"/>
        <w:gridCol w:w="1122"/>
        <w:gridCol w:w="956"/>
        <w:gridCol w:w="954"/>
        <w:gridCol w:w="6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7942" w:type="dxa"/>
            <w:gridSpan w:val="8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杭州普枫新能源杭州物流园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1.5MWp分布式光伏发电项目（南区1MWp）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测量放线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default" w:eastAsiaTheme="minor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支架安装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29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7942" w:type="dxa"/>
            <w:gridSpan w:val="8"/>
            <w:vAlign w:val="center"/>
          </w:tcPr>
          <w:p>
            <w:pPr>
              <w:jc w:val="center"/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结构增强加固安装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default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default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default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68%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hint="default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68%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7942" w:type="dxa"/>
            <w:gridSpan w:val="8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杭州普枫新能源临江南物流园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0.85MWp分布式光伏发电项目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测量放线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04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08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2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四、下月进度计划</w:t>
      </w:r>
    </w:p>
    <w:tbl>
      <w:tblPr>
        <w:tblStyle w:val="6"/>
        <w:tblW w:w="85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985"/>
        <w:gridCol w:w="1116"/>
        <w:gridCol w:w="1148"/>
        <w:gridCol w:w="2529"/>
        <w:gridCol w:w="23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8096" w:type="dxa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杭州普枫新能源杭州物流园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1.5MWp分布式光伏发电项目（南区1MWp）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5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116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下月计划完成量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5" w:type="dxa"/>
            <w:vAlign w:val="top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组件安装</w:t>
            </w:r>
          </w:p>
        </w:tc>
        <w:tc>
          <w:tcPr>
            <w:tcW w:w="111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30%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default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南区B1</w:t>
            </w:r>
            <w:r>
              <w:rPr>
                <w:rFonts w:hint="eastAsia"/>
                <w:color w:val="000000" w:themeColor="text1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、B2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8096" w:type="dxa"/>
            <w:gridSpan w:val="5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5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116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下月计划完成量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结构增强加固安装</w:t>
            </w:r>
          </w:p>
        </w:tc>
        <w:tc>
          <w:tcPr>
            <w:tcW w:w="111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32%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85" w:type="dxa"/>
            <w:vAlign w:val="center"/>
          </w:tcPr>
          <w:p>
            <w:pPr>
              <w:jc w:val="center"/>
              <w:rPr>
                <w:rFonts w:hint="default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测量放线</w:t>
            </w:r>
          </w:p>
        </w:tc>
        <w:tc>
          <w:tcPr>
            <w:tcW w:w="111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</w:t>
            </w: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5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支架安装</w:t>
            </w:r>
          </w:p>
        </w:tc>
        <w:tc>
          <w:tcPr>
            <w:tcW w:w="1116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5.25</w:t>
            </w:r>
          </w:p>
        </w:tc>
        <w:tc>
          <w:tcPr>
            <w:tcW w:w="1148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2529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8096" w:type="dxa"/>
            <w:gridSpan w:val="5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杭州普枫新能源临江南物流园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0.85MWp分布式光伏发电项目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5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下月计划完成量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5" w:type="dxa"/>
            <w:vAlign w:val="top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组件安装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06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10%</w:t>
            </w:r>
          </w:p>
        </w:tc>
        <w:tc>
          <w:tcPr>
            <w:tcW w:w="0" w:type="auto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8096" w:type="dxa"/>
            <w:gridSpan w:val="5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嘉兴市普枫新能源有限公司</w:t>
            </w:r>
            <w:r>
              <w:rPr>
                <w:rFonts w:hint="eastAsia"/>
                <w:color w:val="000000" w:themeColor="text1"/>
                <w:sz w:val="20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1.6MWp（平嘉仓储）分布式光伏发电项目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5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下月计划完成量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color w:val="000000" w:themeColor="text1"/>
                <w:kern w:val="2"/>
                <w:sz w:val="20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bCs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结构增强加固安装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30%</w:t>
            </w:r>
          </w:p>
        </w:tc>
        <w:tc>
          <w:tcPr>
            <w:tcW w:w="0" w:type="auto"/>
          </w:tcPr>
          <w:p>
            <w:pPr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spacing w:before="156" w:beforeLines="50" w:after="156" w:afterLines="50" w:line="360" w:lineRule="auto"/>
        <w:ind w:firstLine="0" w:firstLineChars="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五、安全文明施工情况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992"/>
        <w:gridCol w:w="992"/>
        <w:gridCol w:w="1276"/>
        <w:gridCol w:w="709"/>
        <w:gridCol w:w="850"/>
        <w:gridCol w:w="850"/>
        <w:gridCol w:w="947"/>
        <w:gridCol w:w="9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gridSpan w:val="3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事故（起）</w:t>
            </w:r>
          </w:p>
        </w:tc>
        <w:tc>
          <w:tcPr>
            <w:tcW w:w="1276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编制安全策划文件（份）</w:t>
            </w:r>
          </w:p>
        </w:tc>
        <w:tc>
          <w:tcPr>
            <w:tcW w:w="709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施工人数</w:t>
            </w:r>
          </w:p>
        </w:tc>
        <w:tc>
          <w:tcPr>
            <w:tcW w:w="3594" w:type="dxa"/>
            <w:gridSpan w:val="4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安全分包情况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人身重伤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机械设备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电网事故</w:t>
            </w:r>
          </w:p>
        </w:tc>
        <w:tc>
          <w:tcPr>
            <w:tcW w:w="1276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分包队伍数量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分包队伍人数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系统外包队伍数量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系统外队伍人数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850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850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</w:tbl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</w:p>
    <w:p>
      <w:pPr>
        <w:spacing w:before="312" w:beforeLines="100" w:after="468" w:afterLines="150" w:line="480" w:lineRule="auto"/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六、施工重点工作情况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3402"/>
        <w:gridCol w:w="4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督促施工单位材料进场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要求施工单位合理安排施工进度计划，及时调整人力、物力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督促施工单位报审《安全文明施工管理制度》，安委会要定期对现场进行安全检查； 对施工人员进行安全培训、考试，提高作业人员安全防范意识，落实安全文明施工措施。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审查施工项目部&lt;&lt;安全文明措施&gt;&gt;及施工项目部施工安全管理人员、特殊工种、特殊作业人员资格证明文件，实施安全监理，发现问题及时提出整改要求并限期改正。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轨道到场进行检查；吊装施工进行旁站；督促施工单位质量通病防治措施；监督施工项目部落实强制性条文的执行计划。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督促施工单位按照施工工艺和设计要求进行施工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技术管理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督促施工单位对施工人员进行技术交底，现场检查施工人员是否按照技术交底内容进行施工。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参与过程中重要（关键）环节的施工技术交底会，监督检查执行情况。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造价管理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对施工单位申请的工程款及时进行评审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对工程量实施计量，及时审核施工项目部报送的工程量清单、进度款支付申请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物资供应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协助建设单位做好建设物资进场工作，督促施工单位做好物资保管工作，要求施工单位安排人员对施工现场进行巡查，确保物资不遗失。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督促施工单位按照日期的要求，安排人员进行施工。</w:t>
            </w:r>
          </w:p>
        </w:tc>
      </w:tr>
    </w:tbl>
    <w:p>
      <w:pPr>
        <w:spacing w:before="1092" w:beforeLines="350" w:line="360" w:lineRule="auto"/>
        <w:jc w:val="right"/>
        <w:rPr>
          <w:rFonts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常州正衡电力工程监理有限公司</w:t>
      </w:r>
    </w:p>
    <w:p>
      <w:pPr>
        <w:jc w:val="both"/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杭州普枫新能源杭州物流园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1.5MWp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杭州普枫新能源临江物流园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杭州普枫新能源临江南物流园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0.85MWp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  <w:r>
        <w:rPr>
          <w:rFonts w:hint="eastAsia" w:asciiTheme="minorEastAsia" w:hAnsiTheme="minorEastAsia"/>
          <w:sz w:val="24"/>
        </w:rPr>
        <w:t>、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嘉兴市普枫新能源有限责任公司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1.6MWp（平嘉仓储）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分布式光伏发电项目</w:t>
      </w:r>
    </w:p>
    <w:p>
      <w:pPr>
        <w:jc w:val="right"/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2020年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月3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p>
      <w:pP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1" w:name="_GoBack"/>
      <w:bookmarkEnd w:id="1"/>
    </w:p>
    <w:sectPr>
      <w:footerReference r:id="rId3" w:type="default"/>
      <w:pgSz w:w="11906" w:h="16838"/>
      <w:pgMar w:top="1440" w:right="1797" w:bottom="1440" w:left="179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940521851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D13E172"/>
    <w:multiLevelType w:val="singleLevel"/>
    <w:tmpl w:val="9D13E17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097"/>
    <w:rsid w:val="00011723"/>
    <w:rsid w:val="00055EBC"/>
    <w:rsid w:val="00077CC1"/>
    <w:rsid w:val="00097764"/>
    <w:rsid w:val="000E1317"/>
    <w:rsid w:val="00124F85"/>
    <w:rsid w:val="00141B91"/>
    <w:rsid w:val="00144C26"/>
    <w:rsid w:val="00155D85"/>
    <w:rsid w:val="00236CF4"/>
    <w:rsid w:val="00285532"/>
    <w:rsid w:val="00392D99"/>
    <w:rsid w:val="003A2AB0"/>
    <w:rsid w:val="003A5A33"/>
    <w:rsid w:val="003A5D2F"/>
    <w:rsid w:val="003F2278"/>
    <w:rsid w:val="00440F97"/>
    <w:rsid w:val="00471426"/>
    <w:rsid w:val="004C39A3"/>
    <w:rsid w:val="00502559"/>
    <w:rsid w:val="00610000"/>
    <w:rsid w:val="00624B5B"/>
    <w:rsid w:val="006669A3"/>
    <w:rsid w:val="006A47F0"/>
    <w:rsid w:val="00732892"/>
    <w:rsid w:val="00732DC3"/>
    <w:rsid w:val="007C51F9"/>
    <w:rsid w:val="00812E5F"/>
    <w:rsid w:val="00890A11"/>
    <w:rsid w:val="008960B9"/>
    <w:rsid w:val="008D7C3C"/>
    <w:rsid w:val="00914097"/>
    <w:rsid w:val="00940405"/>
    <w:rsid w:val="00940639"/>
    <w:rsid w:val="00982770"/>
    <w:rsid w:val="009868DA"/>
    <w:rsid w:val="009A69D0"/>
    <w:rsid w:val="009D775B"/>
    <w:rsid w:val="009F1FCB"/>
    <w:rsid w:val="009F6C33"/>
    <w:rsid w:val="00A54037"/>
    <w:rsid w:val="00A54B17"/>
    <w:rsid w:val="00A7236B"/>
    <w:rsid w:val="00A856E8"/>
    <w:rsid w:val="00AA2FFC"/>
    <w:rsid w:val="00AD701C"/>
    <w:rsid w:val="00B327D6"/>
    <w:rsid w:val="00B41BAE"/>
    <w:rsid w:val="00B86917"/>
    <w:rsid w:val="00B96AEA"/>
    <w:rsid w:val="00BD6F84"/>
    <w:rsid w:val="00C66F22"/>
    <w:rsid w:val="00CA6B9A"/>
    <w:rsid w:val="00CB0F9B"/>
    <w:rsid w:val="00D551C8"/>
    <w:rsid w:val="00D858ED"/>
    <w:rsid w:val="00DC684A"/>
    <w:rsid w:val="00EB1CD3"/>
    <w:rsid w:val="00EC2E45"/>
    <w:rsid w:val="00F20C3B"/>
    <w:rsid w:val="00F7297C"/>
    <w:rsid w:val="00F85F8E"/>
    <w:rsid w:val="00FD4BE9"/>
    <w:rsid w:val="02E634EE"/>
    <w:rsid w:val="0369272B"/>
    <w:rsid w:val="045808C7"/>
    <w:rsid w:val="05017662"/>
    <w:rsid w:val="07813387"/>
    <w:rsid w:val="08046824"/>
    <w:rsid w:val="0D830EA6"/>
    <w:rsid w:val="0DCC69A8"/>
    <w:rsid w:val="0E1867C8"/>
    <w:rsid w:val="0E190185"/>
    <w:rsid w:val="10762991"/>
    <w:rsid w:val="11013837"/>
    <w:rsid w:val="114179A0"/>
    <w:rsid w:val="11A0337E"/>
    <w:rsid w:val="162C27CB"/>
    <w:rsid w:val="168035D6"/>
    <w:rsid w:val="16A87B46"/>
    <w:rsid w:val="17685DE0"/>
    <w:rsid w:val="199B7109"/>
    <w:rsid w:val="1A961AB1"/>
    <w:rsid w:val="1AB8229E"/>
    <w:rsid w:val="1EB11C69"/>
    <w:rsid w:val="1F8326BC"/>
    <w:rsid w:val="20D31B53"/>
    <w:rsid w:val="21712324"/>
    <w:rsid w:val="23501577"/>
    <w:rsid w:val="23C07E6C"/>
    <w:rsid w:val="24186FBC"/>
    <w:rsid w:val="2549780F"/>
    <w:rsid w:val="27E06800"/>
    <w:rsid w:val="27FD06F1"/>
    <w:rsid w:val="2AC20FB4"/>
    <w:rsid w:val="2E2B10F5"/>
    <w:rsid w:val="30A24269"/>
    <w:rsid w:val="34B5338C"/>
    <w:rsid w:val="34C26F7D"/>
    <w:rsid w:val="380714BD"/>
    <w:rsid w:val="38BF4998"/>
    <w:rsid w:val="3AEC5DEB"/>
    <w:rsid w:val="3CA1135A"/>
    <w:rsid w:val="4194536F"/>
    <w:rsid w:val="44800732"/>
    <w:rsid w:val="45557E0F"/>
    <w:rsid w:val="464E7B33"/>
    <w:rsid w:val="47C2707C"/>
    <w:rsid w:val="48B26777"/>
    <w:rsid w:val="4CE83607"/>
    <w:rsid w:val="4EBE1630"/>
    <w:rsid w:val="4FF162DD"/>
    <w:rsid w:val="55A83AAF"/>
    <w:rsid w:val="561D36BE"/>
    <w:rsid w:val="56F905B2"/>
    <w:rsid w:val="56FA5A54"/>
    <w:rsid w:val="57D8095D"/>
    <w:rsid w:val="5A360C29"/>
    <w:rsid w:val="5ACC2DA8"/>
    <w:rsid w:val="5C116D80"/>
    <w:rsid w:val="5DC51A55"/>
    <w:rsid w:val="5E626EF5"/>
    <w:rsid w:val="601E02F7"/>
    <w:rsid w:val="659D769D"/>
    <w:rsid w:val="6976022A"/>
    <w:rsid w:val="6BF27F57"/>
    <w:rsid w:val="6C146B04"/>
    <w:rsid w:val="6E511395"/>
    <w:rsid w:val="70F67557"/>
    <w:rsid w:val="712A6FC9"/>
    <w:rsid w:val="71381829"/>
    <w:rsid w:val="72D76FCE"/>
    <w:rsid w:val="755325D9"/>
    <w:rsid w:val="76A55366"/>
    <w:rsid w:val="797A074D"/>
    <w:rsid w:val="797B4BD5"/>
    <w:rsid w:val="7CDF3DC1"/>
    <w:rsid w:val="7D300941"/>
    <w:rsid w:val="7F370AE7"/>
    <w:rsid w:val="7FC91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7"/>
    <w:link w:val="2"/>
    <w:semiHidden/>
    <w:qFormat/>
    <w:uiPriority w:val="99"/>
    <w:rPr>
      <w:sz w:val="18"/>
      <w:szCs w:val="18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7"/>
    <w:link w:val="3"/>
    <w:qFormat/>
    <w:uiPriority w:val="99"/>
    <w:rPr>
      <w:sz w:val="18"/>
      <w:szCs w:val="18"/>
    </w:rPr>
  </w:style>
  <w:style w:type="paragraph" w:customStyle="1" w:styleId="12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3">
    <w:name w:val="正文文本 21"/>
    <w:basedOn w:val="1"/>
    <w:qFormat/>
    <w:uiPriority w:val="0"/>
    <w:pPr>
      <w:spacing w:after="120" w:line="480" w:lineRule="auto"/>
    </w:pPr>
    <w:rPr>
      <w:rFonts w:ascii="Times New Roman" w:hAnsi="Times New Roman"/>
      <w:szCs w:val="24"/>
    </w:rPr>
  </w:style>
  <w:style w:type="paragraph" w:customStyle="1" w:styleId="14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9439D34-357C-41F6-90D0-6CD0077ACBA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10</Pages>
  <Words>1620</Words>
  <Characters>1872</Characters>
  <Lines>16</Lines>
  <Paragraphs>4</Paragraphs>
  <TotalTime>2</TotalTime>
  <ScaleCrop>false</ScaleCrop>
  <LinksUpToDate>false</LinksUpToDate>
  <CharactersWithSpaces>1989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Administrator</cp:lastModifiedBy>
  <cp:lastPrinted>2019-10-06T08:25:00Z</cp:lastPrinted>
  <dcterms:modified xsi:type="dcterms:W3CDTF">2020-05-30T03:17:44Z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