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425"/>
        <w:rPr>
          <w:szCs w:val="21"/>
        </w:rPr>
      </w:pPr>
      <w:bookmarkStart w:id="0" w:name="_Toc388020196"/>
    </w:p>
    <w:p>
      <w:pPr>
        <w:tabs>
          <w:tab w:val="left" w:pos="6237"/>
        </w:tabs>
        <w:topLinePunct/>
        <w:ind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-697230</wp:posOffset>
            </wp:positionV>
            <wp:extent cx="1066800" cy="1066800"/>
            <wp:effectExtent l="0" t="0" r="0" b="0"/>
            <wp:wrapSquare wrapText="bothSides"/>
            <wp:docPr id="1" name="图片 1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</w:t>
      </w:r>
    </w:p>
    <w:p>
      <w:pPr>
        <w:pStyle w:val="12"/>
        <w:jc w:val="both"/>
        <w:rPr>
          <w:b/>
          <w:bCs/>
          <w:sz w:val="36"/>
          <w:szCs w:val="36"/>
        </w:rPr>
      </w:pPr>
      <w:r>
        <w:rPr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171450</wp:posOffset>
            </wp:positionV>
            <wp:extent cx="1083945" cy="332105"/>
            <wp:effectExtent l="0" t="0" r="1905" b="1079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pStyle w:val="12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监  理  月  报</w:t>
      </w:r>
    </w:p>
    <w:p>
      <w:pPr>
        <w:widowControl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Theme="minorEastAsia" w:hAnsiTheme="minorEastAsia" w:cstheme="minorEastAsia"/>
          <w:sz w:val="28"/>
          <w:szCs w:val="28"/>
        </w:rPr>
        <w:t>工程名称：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杭州普枫新能源杭州物流园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1.5MWp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分布式光伏发电项目</w:t>
      </w:r>
      <w:r>
        <w:rPr>
          <w:rFonts w:hint="eastAsia" w:asciiTheme="minorEastAsia" w:hAnsiTheme="minorEastAsia"/>
          <w:sz w:val="24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杭州普枫新能源临江物流园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1MWp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分布式光伏发电项目</w:t>
      </w:r>
      <w:r>
        <w:rPr>
          <w:rFonts w:hint="eastAsia" w:asciiTheme="minorEastAsia" w:hAnsiTheme="minorEastAsia"/>
          <w:sz w:val="24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杭州普枫新能源临江南物流园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0.85MWp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分布式光伏发电项目</w:t>
      </w:r>
      <w:r>
        <w:rPr>
          <w:rFonts w:hint="eastAsia" w:asciiTheme="minorEastAsia" w:hAnsiTheme="minorEastAsia"/>
          <w:sz w:val="24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嘉兴市普枫新能源有限责任公司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1.6MWp（平嘉仓储）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分布式光伏发电项目</w:t>
      </w:r>
    </w:p>
    <w:p>
      <w:pPr>
        <w:widowControl/>
        <w:ind w:firstLine="300" w:firstLineChars="100"/>
        <w:jc w:val="center"/>
        <w:rPr>
          <w:rFonts w:ascii="Times New Roman" w:hAnsi="Times New Roman" w:cs="Times New Roman"/>
          <w:sz w:val="30"/>
          <w:szCs w:val="30"/>
        </w:rPr>
      </w:pPr>
    </w:p>
    <w:p>
      <w:pPr>
        <w:widowControl/>
        <w:ind w:firstLine="300" w:firstLineChars="100"/>
        <w:jc w:val="center"/>
        <w:rPr>
          <w:rFonts w:ascii="Times New Roman" w:hAnsi="Times New Roman" w:cs="Times New Roman"/>
          <w:sz w:val="30"/>
          <w:szCs w:val="30"/>
        </w:rPr>
      </w:pPr>
    </w:p>
    <w:p>
      <w:pPr>
        <w:topLinePunct/>
        <w:ind w:firstLine="425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第0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期</w:t>
      </w:r>
    </w:p>
    <w:p>
      <w:pPr>
        <w:topLinePunct/>
        <w:ind w:firstLine="425"/>
        <w:jc w:val="center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（2020年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月1日---2020年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月3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日）</w:t>
      </w:r>
    </w:p>
    <w:p>
      <w:pPr>
        <w:topLinePunct/>
        <w:ind w:firstLine="425"/>
        <w:jc w:val="center"/>
        <w:rPr>
          <w:sz w:val="28"/>
          <w:szCs w:val="28"/>
        </w:rPr>
      </w:pPr>
    </w:p>
    <w:p>
      <w:pPr>
        <w:topLinePunct/>
        <w:ind w:firstLine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topLinePunct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提交部门：监理项目部</w:t>
      </w:r>
    </w:p>
    <w:p>
      <w:pPr>
        <w:topLinePunct/>
        <w:ind w:firstLine="3080" w:firstLineChars="1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编    制：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吴桥生</w:t>
      </w:r>
    </w:p>
    <w:p>
      <w:pPr>
        <w:topLinePunct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    发：于彬</w:t>
      </w:r>
    </w:p>
    <w:p>
      <w:pPr>
        <w:topLinePunct/>
        <w:ind w:firstLine="3080" w:firstLineChars="1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报告日期：2020.0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</w:rPr>
        <w:t xml:space="preserve"> </w:t>
      </w:r>
      <w:bookmarkEnd w:id="0"/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24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杭州普枫新能源杭州物流园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1.5MWp分布式光伏发电项目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杭州普枫新能源临江物流园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1MWp分布式光伏发电项目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杭州普枫新能源临江南物流园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0.85MWp分布式光伏发电项目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嘉兴市普枫新能源有限责任公司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1.6MWp（平嘉仓储）分布式光伏发电项目</w:t>
      </w:r>
    </w:p>
    <w:p>
      <w:pPr>
        <w:spacing w:before="312" w:beforeLines="100" w:after="468" w:afterLines="150" w:line="24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月次 第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次   </w:t>
      </w:r>
    </w:p>
    <w:p>
      <w:pPr>
        <w:spacing w:before="312" w:beforeLines="100" w:after="468" w:afterLines="150" w:line="240" w:lineRule="exact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2020年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2020年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312" w:beforeLines="100" w:after="468" w:afterLines="150" w:line="24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spacing w:before="312" w:beforeLines="100" w:after="468" w:afterLines="150" w:line="480" w:lineRule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</w:t>
            </w:r>
            <w:r>
              <w:rPr>
                <w:rFonts w:hint="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杭州普枫新能源杭州物流园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1.5MWp分布式光伏发电项目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阳光电源股份有限公司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杭州普枫新能源临江物流园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1MWp分布式光伏发电项目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阳光电源股份有限公司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杭州普枫新能源临江南物流园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0.85MWp分布式光伏发电项目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阳光电源股份有限公司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嘉兴市普枫新能源有限责任公司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1.6MWp（平嘉仓储）分布式光伏发电项目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阳光电源股份有限公司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312" w:beforeLines="100" w:after="468" w:afterLines="150" w:line="480" w:lineRule="auto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312" w:beforeLines="100" w:after="468" w:afterLines="150" w:line="480" w:lineRule="auto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312" w:beforeLines="100" w:after="468" w:afterLines="150" w:line="480" w:lineRule="auto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312" w:beforeLines="100" w:after="468" w:afterLines="150" w:line="480" w:lineRule="auto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312" w:beforeLines="100" w:after="468" w:afterLines="150" w:line="480" w:lineRule="auto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、监理重点工作情况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271"/>
              </w:tabs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Align w:val="top"/>
          </w:tcPr>
          <w:p>
            <w:pPr>
              <w:spacing w:line="360" w:lineRule="auto"/>
              <w:jc w:val="both"/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567940" cy="2269490"/>
                  <wp:effectExtent l="0" t="0" r="3810" b="16510"/>
                  <wp:docPr id="2" name="图片 2" descr="20200502-11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00502-1110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226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584450" cy="2355215"/>
                  <wp:effectExtent l="0" t="0" r="6350" b="6985"/>
                  <wp:docPr id="5" name="图片 5" descr="20200502-10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0200502-1030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235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591435" cy="2463165"/>
                  <wp:effectExtent l="0" t="0" r="18415" b="13335"/>
                  <wp:docPr id="6" name="图片 6" descr="7d0d6749163637f96ba47440a016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d0d6749163637f96ba47440a016be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246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2654300" cy="2008505"/>
                  <wp:effectExtent l="0" t="0" r="12700" b="10795"/>
                  <wp:docPr id="4" name="图片 4" descr="mmexport1590223650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mmexport15902236503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200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2663190" cy="2281555"/>
                  <wp:effectExtent l="0" t="0" r="3810" b="4445"/>
                  <wp:docPr id="7" name="图片 7" descr="84ee4292bc71f1431cf8d352f667d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4ee4292bc71f1431cf8d352f667d5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190" cy="228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2661285" cy="2177415"/>
                  <wp:effectExtent l="0" t="0" r="5715" b="13335"/>
                  <wp:docPr id="8" name="图片 8" descr="mmexport1590659336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mmexport15906593361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285" cy="217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815590" cy="2140585"/>
                  <wp:effectExtent l="0" t="0" r="3810" b="12065"/>
                  <wp:docPr id="10" name="图片 10" descr="20200528-0911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0200528-091154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590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814320" cy="2658110"/>
                  <wp:effectExtent l="0" t="0" r="5080" b="8890"/>
                  <wp:docPr id="9" name="图片 9" descr="20200528-143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0200528-1436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320" cy="265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795270" cy="2217420"/>
                  <wp:effectExtent l="0" t="0" r="5080" b="11430"/>
                  <wp:docPr id="11" name="图片 11" descr="43576b512d8f8cf1d9a397069be17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3576b512d8f8cf1d9a397069be17a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70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663190" cy="2399665"/>
                  <wp:effectExtent l="0" t="0" r="3810" b="635"/>
                  <wp:docPr id="12" name="图片 12" descr="42f51f09acc65cdcfab2aaa17a37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2f51f09acc65cdcfab2aaa17a378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190" cy="239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临江物流园B2厂房结构加固安装90%，</w:t>
            </w:r>
            <w:bookmarkStart w:id="1" w:name="_GoBack"/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组件到货32箱，逆变器及配电箱到货100%。</w:t>
            </w:r>
            <w:bookmarkEnd w:id="1"/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2、临江南物流园A2、A3屋面支架安装完成100%，组件到货64箱，逆变器、汇流箱及配电箱到货100%。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3、杭州物流园组件到货128箱，逆变器及配电箱到货100%。         4、嘉兴物流园支架及配件材料到货100%，加固材料到货99%。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1、杭州物流园南区B1、B2屋顶组件安装，北区A2屋顶结构待加固。</w:t>
            </w: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2、临江物流园B2加固验收，光伏屋面施工。 </w:t>
            </w: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3、临江南物流园A2、A3屋面组件吊装及安装。</w:t>
            </w:r>
          </w:p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4、嘉兴物流园仓库2、3结构加固安装。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组件部分已进场。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剩余材料到货。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蓝图完成。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质量体系健全，运行良好。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落实质量保证体系，并对运行情况进行检查。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部分已进行。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部分已进行。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督促施工单位按方案执行。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部分已进行。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新进场员工已进行安全培训。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督促施工单位对进场新员工进行安全教育。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落实不彻底，已要求施工单位认真落实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桥架外观检查合格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逆变器外观检查合格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工序施工基本符合要求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1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</w:tbl>
    <w:p>
      <w:pPr>
        <w:spacing w:before="312" w:beforeLines="100" w:after="468" w:afterLines="150" w:line="480" w:lineRule="auto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312" w:beforeLines="100" w:after="468" w:afterLines="150" w:line="480" w:lineRule="auto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三、本月进度情况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73"/>
        <w:gridCol w:w="1053"/>
        <w:gridCol w:w="1054"/>
        <w:gridCol w:w="1079"/>
        <w:gridCol w:w="1175"/>
        <w:gridCol w:w="956"/>
        <w:gridCol w:w="954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42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杭州普枫新能源临江物流园</w:t>
            </w: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结构增强加固安装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22%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42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杭州普枫新能源临江南物流园</w:t>
            </w: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0.85MWp分布式光伏发电项目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42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嘉兴市普枫新能源有限公司</w:t>
            </w: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1.6MWp（平嘉仓储）分布式光伏发电项目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结构增强加固安装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312" w:beforeLines="100" w:after="468" w:afterLines="150" w:line="480" w:lineRule="auto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四、下月进度计划</w:t>
      </w:r>
    </w:p>
    <w:tbl>
      <w:tblPr>
        <w:tblStyle w:val="6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1116"/>
        <w:gridCol w:w="1148"/>
        <w:gridCol w:w="2529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96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杭州普枫新能源杭州物流园</w:t>
            </w: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1.5MWp分布式光伏发电项目（南区1MWp）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下月计划完成量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南区B1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汇流箱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、逆变器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南区B1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电气接线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南区B1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并网柜基础及电缆沟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南区B1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交流电缆敷设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南区B1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并网柜安装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南区B1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监控安装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南区B1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接地线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南区B1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96" w:type="dxa"/>
            <w:gridSpan w:val="5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杭州普枫新能源临江物流园</w:t>
            </w: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下月计划完成量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测量放线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汇流箱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、逆变器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电气接线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并网柜基础及电缆沟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交流电缆敷设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并网柜安装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监控安装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接地线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96" w:type="dxa"/>
            <w:gridSpan w:val="5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杭州普枫新能源临江南物流园</w:t>
            </w: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0.85MWp分布式光伏发电项目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汇流箱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、逆变器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电气接线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并网柜基础及电缆沟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交流电缆敷设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并网柜安装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监控安装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接地线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96" w:type="dxa"/>
            <w:gridSpan w:val="5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嘉兴市普枫新能源有限公司</w:t>
            </w:r>
            <w:r>
              <w:rPr>
                <w:rFonts w:hint="eastAsia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1.6MWp（平嘉仓储）分布式光伏发电项目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结构增强加固安装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测量放线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汇流箱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、逆变器</w:t>
            </w:r>
          </w:p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并网柜基础及电缆沟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spacing w:before="156" w:beforeLines="50" w:after="156" w:afterLines="50" w:line="360" w:lineRule="auto"/>
        <w:ind w:firstLine="0" w:firstLineChars="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312" w:beforeLines="100" w:after="468" w:afterLines="150" w:line="480" w:lineRule="auto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五、安全文明施工情况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spacing w:before="312" w:beforeLines="100" w:after="468" w:afterLines="150" w:line="480" w:lineRule="auto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312" w:beforeLines="100" w:after="468" w:afterLines="150" w:line="480" w:lineRule="auto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六、施工重点工作情况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督促施工单位材料进场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要求施工单位合理安排施工进度计划，及时调整人力、物力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轨道到场进行检查；吊装施工进行旁站；督促施工单位质量通病防治措施；监督施工项目部落实强制性条文的执行计划。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督促施工单位按照施工工艺和设计要求进行施工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督促施工单位按照日期的要求，安排人员进行施工。</w:t>
            </w:r>
          </w:p>
        </w:tc>
      </w:tr>
    </w:tbl>
    <w:p>
      <w:pPr>
        <w:spacing w:before="1092" w:beforeLines="350" w:line="360" w:lineRule="auto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jc w:val="both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杭州普枫新能源杭州物流园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1.5MWp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分布式光伏发电项目</w:t>
      </w:r>
      <w:r>
        <w:rPr>
          <w:rFonts w:hint="eastAsia" w:asciiTheme="minorEastAsia" w:hAnsiTheme="minorEastAsia"/>
          <w:sz w:val="24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杭州普枫新能源临江物流园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1MWp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分布式光伏发电项目</w:t>
      </w:r>
      <w:r>
        <w:rPr>
          <w:rFonts w:hint="eastAsia" w:asciiTheme="minorEastAsia" w:hAnsiTheme="minorEastAsia"/>
          <w:sz w:val="24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杭州普枫新能源临江南物流园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0.85MWp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分布式光伏发电项目</w:t>
      </w:r>
      <w:r>
        <w:rPr>
          <w:rFonts w:hint="eastAsia" w:asciiTheme="minorEastAsia" w:hAnsiTheme="minorEastAsia"/>
          <w:sz w:val="24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嘉兴市普枫新能源有限责任公司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1.6MWp（平嘉仓储）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分布式光伏发电项目</w:t>
      </w:r>
    </w:p>
    <w:p>
      <w:pPr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月3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13E172"/>
    <w:multiLevelType w:val="singleLevel"/>
    <w:tmpl w:val="9D13E1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55EBC"/>
    <w:rsid w:val="00077CC1"/>
    <w:rsid w:val="00097764"/>
    <w:rsid w:val="000E1317"/>
    <w:rsid w:val="00124F85"/>
    <w:rsid w:val="00141B91"/>
    <w:rsid w:val="00144C26"/>
    <w:rsid w:val="00155D85"/>
    <w:rsid w:val="00236CF4"/>
    <w:rsid w:val="00285532"/>
    <w:rsid w:val="00392D99"/>
    <w:rsid w:val="003A2AB0"/>
    <w:rsid w:val="003A5A33"/>
    <w:rsid w:val="003A5D2F"/>
    <w:rsid w:val="003F2278"/>
    <w:rsid w:val="00440F97"/>
    <w:rsid w:val="00471426"/>
    <w:rsid w:val="004C39A3"/>
    <w:rsid w:val="00502559"/>
    <w:rsid w:val="00610000"/>
    <w:rsid w:val="00624B5B"/>
    <w:rsid w:val="006669A3"/>
    <w:rsid w:val="006A47F0"/>
    <w:rsid w:val="00732892"/>
    <w:rsid w:val="00732DC3"/>
    <w:rsid w:val="007C51F9"/>
    <w:rsid w:val="00812E5F"/>
    <w:rsid w:val="00890A11"/>
    <w:rsid w:val="008960B9"/>
    <w:rsid w:val="008D7C3C"/>
    <w:rsid w:val="00914097"/>
    <w:rsid w:val="00940405"/>
    <w:rsid w:val="00940639"/>
    <w:rsid w:val="00982770"/>
    <w:rsid w:val="009868DA"/>
    <w:rsid w:val="009A69D0"/>
    <w:rsid w:val="009D775B"/>
    <w:rsid w:val="009F1FCB"/>
    <w:rsid w:val="009F6C33"/>
    <w:rsid w:val="00A54037"/>
    <w:rsid w:val="00A54B17"/>
    <w:rsid w:val="00A7236B"/>
    <w:rsid w:val="00A856E8"/>
    <w:rsid w:val="00AA2FFC"/>
    <w:rsid w:val="00AD701C"/>
    <w:rsid w:val="00B327D6"/>
    <w:rsid w:val="00B41BAE"/>
    <w:rsid w:val="00B86917"/>
    <w:rsid w:val="00B96AEA"/>
    <w:rsid w:val="00BD6F84"/>
    <w:rsid w:val="00C66F22"/>
    <w:rsid w:val="00CA6B9A"/>
    <w:rsid w:val="00CB0F9B"/>
    <w:rsid w:val="00D551C8"/>
    <w:rsid w:val="00D858ED"/>
    <w:rsid w:val="00DC684A"/>
    <w:rsid w:val="00EB1CD3"/>
    <w:rsid w:val="00EC2E45"/>
    <w:rsid w:val="00F20C3B"/>
    <w:rsid w:val="00F7297C"/>
    <w:rsid w:val="00F85F8E"/>
    <w:rsid w:val="00FD4BE9"/>
    <w:rsid w:val="02E634EE"/>
    <w:rsid w:val="0369272B"/>
    <w:rsid w:val="045808C7"/>
    <w:rsid w:val="05017662"/>
    <w:rsid w:val="07813387"/>
    <w:rsid w:val="08046824"/>
    <w:rsid w:val="0D830EA6"/>
    <w:rsid w:val="0DCC69A8"/>
    <w:rsid w:val="0E1867C8"/>
    <w:rsid w:val="0E190185"/>
    <w:rsid w:val="10762991"/>
    <w:rsid w:val="11013837"/>
    <w:rsid w:val="114179A0"/>
    <w:rsid w:val="11A0337E"/>
    <w:rsid w:val="162C27CB"/>
    <w:rsid w:val="168035D6"/>
    <w:rsid w:val="16A87B46"/>
    <w:rsid w:val="17685DE0"/>
    <w:rsid w:val="199B7109"/>
    <w:rsid w:val="1A961AB1"/>
    <w:rsid w:val="1AB8229E"/>
    <w:rsid w:val="1EB11C69"/>
    <w:rsid w:val="1F8326BC"/>
    <w:rsid w:val="20D31B53"/>
    <w:rsid w:val="21712324"/>
    <w:rsid w:val="23501577"/>
    <w:rsid w:val="23C07E6C"/>
    <w:rsid w:val="24186FBC"/>
    <w:rsid w:val="2549780F"/>
    <w:rsid w:val="27E06800"/>
    <w:rsid w:val="27FD06F1"/>
    <w:rsid w:val="2AC20FB4"/>
    <w:rsid w:val="2E2B10F5"/>
    <w:rsid w:val="30A24269"/>
    <w:rsid w:val="34B5338C"/>
    <w:rsid w:val="34C26F7D"/>
    <w:rsid w:val="380714BD"/>
    <w:rsid w:val="38BF4998"/>
    <w:rsid w:val="3AEC5DEB"/>
    <w:rsid w:val="3CA1135A"/>
    <w:rsid w:val="4194536F"/>
    <w:rsid w:val="44800732"/>
    <w:rsid w:val="45557E0F"/>
    <w:rsid w:val="464E7B33"/>
    <w:rsid w:val="47C2707C"/>
    <w:rsid w:val="48B26777"/>
    <w:rsid w:val="4CE83607"/>
    <w:rsid w:val="4EBE1630"/>
    <w:rsid w:val="4FF162DD"/>
    <w:rsid w:val="55A83AAF"/>
    <w:rsid w:val="561D36BE"/>
    <w:rsid w:val="56F905B2"/>
    <w:rsid w:val="56FA5A54"/>
    <w:rsid w:val="57D8095D"/>
    <w:rsid w:val="5A360C29"/>
    <w:rsid w:val="5ACC2DA8"/>
    <w:rsid w:val="5C116D80"/>
    <w:rsid w:val="5DC51A55"/>
    <w:rsid w:val="5E626EF5"/>
    <w:rsid w:val="601E02F7"/>
    <w:rsid w:val="659D769D"/>
    <w:rsid w:val="6976022A"/>
    <w:rsid w:val="6BF27F57"/>
    <w:rsid w:val="6C146B04"/>
    <w:rsid w:val="6E511395"/>
    <w:rsid w:val="70F67557"/>
    <w:rsid w:val="712A6FC9"/>
    <w:rsid w:val="71381829"/>
    <w:rsid w:val="72D76FCE"/>
    <w:rsid w:val="755325D9"/>
    <w:rsid w:val="76A55366"/>
    <w:rsid w:val="784A4E88"/>
    <w:rsid w:val="797A074D"/>
    <w:rsid w:val="797B4BD5"/>
    <w:rsid w:val="7CDF3DC1"/>
    <w:rsid w:val="7D300941"/>
    <w:rsid w:val="7FC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3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439D34-357C-41F6-90D0-6CD0077ACB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1620</Words>
  <Characters>1872</Characters>
  <Lines>16</Lines>
  <Paragraphs>4</Paragraphs>
  <TotalTime>6</TotalTime>
  <ScaleCrop>false</ScaleCrop>
  <LinksUpToDate>false</LinksUpToDate>
  <CharactersWithSpaces>1989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Administrator</cp:lastModifiedBy>
  <cp:lastPrinted>2019-10-06T08:25:00Z</cp:lastPrinted>
  <dcterms:modified xsi:type="dcterms:W3CDTF">2020-05-31T11:36:15Z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