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opLinePunct/>
        <w:ind w:firstLine="425"/>
        <w:rPr>
          <w:szCs w:val="21"/>
        </w:rPr>
      </w:pPr>
      <w:bookmarkStart w:id="0" w:name="_Toc388020196"/>
    </w:p>
    <w:p>
      <w:pPr>
        <w:tabs>
          <w:tab w:val="left" w:pos="6237"/>
        </w:tabs>
        <w:topLinePunct/>
        <w:ind w:firstLine="425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</w:t>
      </w:r>
    </w:p>
    <w:p>
      <w:pPr>
        <w:topLinePunct/>
        <w:ind w:firstLine="425"/>
        <w:rPr>
          <w:szCs w:val="21"/>
        </w:rPr>
      </w:pPr>
    </w:p>
    <w:p>
      <w:pPr>
        <w:topLinePunct/>
        <w:ind w:firstLine="425"/>
        <w:rPr>
          <w:szCs w:val="21"/>
        </w:rPr>
      </w:pPr>
      <w:r>
        <w:rPr>
          <w:rFonts w:hint="eastAsia"/>
          <w:color w:val="FF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-697230</wp:posOffset>
            </wp:positionV>
            <wp:extent cx="1066800" cy="1066800"/>
            <wp:effectExtent l="0" t="0" r="0" b="0"/>
            <wp:wrapSquare wrapText="bothSides"/>
            <wp:docPr id="1" name="图片 1" descr="C:\Users\DELL-N4050\Pictures\QQ图片2014082112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ELL-N4050\Pictures\QQ图片201408211233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 xml:space="preserve"> </w:t>
      </w:r>
    </w:p>
    <w:p>
      <w:pPr>
        <w:pStyle w:val="12"/>
        <w:jc w:val="both"/>
        <w:rPr>
          <w:b/>
          <w:bCs/>
          <w:sz w:val="36"/>
          <w:szCs w:val="36"/>
        </w:rPr>
      </w:pPr>
      <w:r>
        <w:rPr>
          <w:color w:val="FF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171450</wp:posOffset>
            </wp:positionV>
            <wp:extent cx="1083945" cy="332105"/>
            <wp:effectExtent l="0" t="0" r="1905" b="1079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</w:t>
      </w:r>
      <w:r>
        <w:rPr>
          <w:rFonts w:hint="eastAsia"/>
          <w:b/>
          <w:bCs/>
          <w:sz w:val="36"/>
          <w:szCs w:val="36"/>
        </w:rPr>
        <w:t xml:space="preserve"> </w:t>
      </w:r>
    </w:p>
    <w:p>
      <w:pPr>
        <w:pStyle w:val="12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监  理  月  报</w:t>
      </w:r>
    </w:p>
    <w:p>
      <w:pPr>
        <w:widowControl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hint="eastAsia" w:asciiTheme="minorEastAsia" w:hAnsiTheme="minorEastAsia" w:cstheme="minorEastAsia"/>
          <w:sz w:val="28"/>
          <w:szCs w:val="28"/>
        </w:rPr>
        <w:t>工程名称：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杭州普枫新能源杭州物流园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1.5MWp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分布式光伏发电项目</w:t>
      </w:r>
      <w:r>
        <w:rPr>
          <w:rFonts w:hint="eastAsia" w:asciiTheme="minorEastAsia" w:hAnsiTheme="minorEastAsia"/>
          <w:sz w:val="24"/>
        </w:rPr>
        <w:t>、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杭州普枫新能源临江物流园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1MWp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分布式光伏发电项目</w:t>
      </w:r>
      <w:r>
        <w:rPr>
          <w:rFonts w:hint="eastAsia" w:asciiTheme="minorEastAsia" w:hAnsiTheme="minorEastAsia"/>
          <w:sz w:val="24"/>
        </w:rPr>
        <w:t>、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杭州普枫新能源临江南物流园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0.85MWp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分布式光伏发电项目</w:t>
      </w:r>
      <w:r>
        <w:rPr>
          <w:rFonts w:hint="eastAsia" w:asciiTheme="minorEastAsia" w:hAnsiTheme="minorEastAsia"/>
          <w:sz w:val="24"/>
        </w:rPr>
        <w:t>、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嘉兴市普枫新能源有限责任公司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1.6MWp（平嘉仓储）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分布式光伏发电项目</w:t>
      </w:r>
    </w:p>
    <w:p>
      <w:pPr>
        <w:widowControl/>
        <w:ind w:firstLine="300" w:firstLineChars="100"/>
        <w:jc w:val="center"/>
        <w:rPr>
          <w:rFonts w:ascii="Times New Roman" w:hAnsi="Times New Roman" w:cs="Times New Roman"/>
          <w:sz w:val="30"/>
          <w:szCs w:val="30"/>
        </w:rPr>
      </w:pPr>
    </w:p>
    <w:p>
      <w:pPr>
        <w:widowControl/>
        <w:ind w:firstLine="300" w:firstLineChars="100"/>
        <w:jc w:val="center"/>
        <w:rPr>
          <w:rFonts w:ascii="Times New Roman" w:hAnsi="Times New Roman" w:cs="Times New Roman"/>
          <w:sz w:val="30"/>
          <w:szCs w:val="30"/>
        </w:rPr>
      </w:pPr>
    </w:p>
    <w:p>
      <w:pPr>
        <w:topLinePunct/>
        <w:ind w:firstLine="425"/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第0</w:t>
      </w:r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4</w:t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期</w:t>
      </w:r>
    </w:p>
    <w:p>
      <w:pPr>
        <w:topLinePunct/>
        <w:ind w:firstLine="425"/>
        <w:jc w:val="center"/>
        <w:rPr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（2020年</w:t>
      </w:r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7</w:t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月1日---2020年</w:t>
      </w:r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7</w:t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月</w:t>
      </w:r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27</w:t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日）</w:t>
      </w:r>
    </w:p>
    <w:p>
      <w:pPr>
        <w:topLinePunct/>
        <w:ind w:firstLine="425"/>
        <w:jc w:val="center"/>
        <w:rPr>
          <w:sz w:val="28"/>
          <w:szCs w:val="28"/>
        </w:rPr>
      </w:pPr>
    </w:p>
    <w:p>
      <w:pPr>
        <w:topLinePunct/>
        <w:ind w:firstLine="425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</w:p>
    <w:p>
      <w:pPr>
        <w:topLinePunct/>
        <w:rPr>
          <w:szCs w:val="21"/>
        </w:rPr>
      </w:pPr>
    </w:p>
    <w:p>
      <w:pPr>
        <w:topLinePunct/>
        <w:ind w:firstLine="425"/>
        <w:rPr>
          <w:szCs w:val="21"/>
        </w:rPr>
      </w:pPr>
    </w:p>
    <w:p>
      <w:pPr>
        <w:topLinePunct/>
        <w:ind w:firstLine="425"/>
        <w:rPr>
          <w:szCs w:val="21"/>
        </w:rPr>
      </w:pPr>
    </w:p>
    <w:p>
      <w:pPr>
        <w:topLinePunct/>
        <w:ind w:firstLine="3080" w:firstLineChars="11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提交部门：监理项目部</w:t>
      </w:r>
    </w:p>
    <w:p>
      <w:pPr>
        <w:topLinePunct/>
        <w:ind w:firstLine="3080" w:firstLineChars="11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编    制：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吴桥生</w:t>
      </w:r>
    </w:p>
    <w:p>
      <w:pPr>
        <w:topLinePunct/>
        <w:ind w:firstLine="3080" w:firstLineChars="11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签    发：于彬</w:t>
      </w:r>
    </w:p>
    <w:p>
      <w:pPr>
        <w:topLinePunct/>
        <w:ind w:firstLine="3080" w:firstLineChars="1100"/>
        <w:rPr>
          <w:rFonts w:hint="default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8"/>
          <w:szCs w:val="28"/>
        </w:rPr>
        <w:t>报告日期：2020.0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sz w:val="28"/>
          <w:szCs w:val="28"/>
        </w:rPr>
        <w:t>.</w:t>
      </w:r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27</w:t>
      </w:r>
    </w:p>
    <w:p>
      <w:pPr>
        <w:jc w:val="center"/>
        <w:rPr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监  理  月  报</w:t>
      </w:r>
    </w:p>
    <w:p>
      <w:pPr>
        <w:spacing w:before="312" w:beforeLines="100" w:after="468" w:afterLines="150" w:line="240" w:lineRule="exact"/>
        <w:rPr>
          <w:rFonts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工程名称：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杭州普枫新能源杭州物流园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1.5MWp分布式光伏发电项目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杭州普枫新能源临江物流园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1MWp分布式光伏发电项目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杭州普枫新能源临江南物流园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0.85MWp分布式光伏发电项目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嘉兴市普枫新能源有限责任公司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1.6MWp（平嘉仓储）分布式光伏发电项目</w:t>
      </w:r>
    </w:p>
    <w:p>
      <w:pPr>
        <w:spacing w:before="312" w:beforeLines="100" w:after="468" w:afterLines="150" w:line="240" w:lineRule="exact"/>
        <w:rPr>
          <w:rFonts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月次 第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次   </w:t>
      </w:r>
    </w:p>
    <w:p>
      <w:pPr>
        <w:spacing w:before="312" w:beforeLines="100" w:after="468" w:afterLines="150" w:line="240" w:lineRule="exact"/>
        <w:jc w:val="left"/>
        <w:rPr>
          <w:rFonts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月报开始时间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2020年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月1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u w:val="single"/>
          <w:lang w:eastAsia="zh-CN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结束日期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2020年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27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日 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before="312" w:beforeLines="100" w:after="468" w:afterLines="150" w:line="240" w:lineRule="exact"/>
        <w:rPr>
          <w:rFonts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监理单位：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常州正衡电力工程监理有限公司 </w:t>
      </w:r>
    </w:p>
    <w:p>
      <w:pPr>
        <w:spacing w:before="312" w:beforeLines="100" w:after="468" w:afterLines="150" w:line="480" w:lineRule="auto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一、工程影像资料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2268"/>
        <w:gridCol w:w="1985"/>
        <w:gridCol w:w="1276"/>
        <w:gridCol w:w="1134"/>
        <w:gridCol w:w="11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单位工程标准名称</w:t>
            </w:r>
          </w:p>
        </w:tc>
        <w:tc>
          <w:tcPr>
            <w:tcW w:w="1985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施工</w:t>
            </w:r>
            <w:r>
              <w:rPr>
                <w:rFonts w:hint="eastAsia"/>
                <w:color w:val="000000" w:themeColor="text1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资料类型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资料数量</w:t>
            </w:r>
          </w:p>
        </w:tc>
        <w:tc>
          <w:tcPr>
            <w:tcW w:w="1184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5"/>
                <w:szCs w:val="15"/>
                <w:lang w:eastAsia="zh-CN"/>
                <w14:textFill>
                  <w14:solidFill>
                    <w14:schemeClr w14:val="tx1"/>
                  </w14:solidFill>
                </w14:textFill>
              </w:rPr>
              <w:t>杭州普枫新能源杭州物流园</w:t>
            </w:r>
            <w:r>
              <w:rPr>
                <w:rFonts w:hint="eastAsia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1.5MWp分布式光伏发电项目</w:t>
            </w:r>
          </w:p>
        </w:tc>
        <w:tc>
          <w:tcPr>
            <w:tcW w:w="1985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阳光电源股份有限公司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影像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1184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268" w:type="dxa"/>
            <w:vAlign w:val="center"/>
          </w:tcPr>
          <w:p>
            <w:pPr>
              <w:rPr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5"/>
                <w:szCs w:val="15"/>
                <w:lang w:eastAsia="zh-CN"/>
                <w14:textFill>
                  <w14:solidFill>
                    <w14:schemeClr w14:val="tx1"/>
                  </w14:solidFill>
                </w14:textFill>
              </w:rPr>
              <w:t>杭州普枫新能源临江物流园</w:t>
            </w:r>
            <w:r>
              <w:rPr>
                <w:rFonts w:hint="eastAsia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1MWp分布式光伏发电项目</w:t>
            </w:r>
          </w:p>
        </w:tc>
        <w:tc>
          <w:tcPr>
            <w:tcW w:w="1985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阳光电源股份有限公司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影像</w:t>
            </w:r>
          </w:p>
        </w:tc>
        <w:tc>
          <w:tcPr>
            <w:tcW w:w="1134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4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268" w:type="dxa"/>
            <w:vAlign w:val="center"/>
          </w:tcPr>
          <w:p>
            <w:pPr>
              <w:rPr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5"/>
                <w:szCs w:val="15"/>
                <w:lang w:eastAsia="zh-CN"/>
                <w14:textFill>
                  <w14:solidFill>
                    <w14:schemeClr w14:val="tx1"/>
                  </w14:solidFill>
                </w14:textFill>
              </w:rPr>
              <w:t>杭州普枫新能源临江南物流园</w:t>
            </w:r>
            <w:r>
              <w:rPr>
                <w:rFonts w:hint="eastAsia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0.85MWp分布式光伏发电项目</w:t>
            </w:r>
          </w:p>
        </w:tc>
        <w:tc>
          <w:tcPr>
            <w:tcW w:w="1985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阳光电源股份有限公司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影像</w:t>
            </w:r>
          </w:p>
        </w:tc>
        <w:tc>
          <w:tcPr>
            <w:tcW w:w="1134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4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268" w:type="dxa"/>
            <w:vAlign w:val="center"/>
          </w:tcPr>
          <w:p>
            <w:pPr>
              <w:rPr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5"/>
                <w:szCs w:val="15"/>
                <w:lang w:eastAsia="zh-CN"/>
                <w14:textFill>
                  <w14:solidFill>
                    <w14:schemeClr w14:val="tx1"/>
                  </w14:solidFill>
                </w14:textFill>
              </w:rPr>
              <w:t>嘉兴市普枫新能源有限责任公司</w:t>
            </w:r>
            <w:r>
              <w:rPr>
                <w:rFonts w:hint="eastAsia"/>
                <w:color w:val="000000" w:themeColor="text1"/>
                <w:sz w:val="15"/>
                <w:szCs w:val="15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1.6MWp（平嘉仓储）分布式光伏发电项目</w:t>
            </w:r>
          </w:p>
        </w:tc>
        <w:tc>
          <w:tcPr>
            <w:tcW w:w="1985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阳光电源股份有限公司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影像</w:t>
            </w:r>
          </w:p>
        </w:tc>
        <w:tc>
          <w:tcPr>
            <w:tcW w:w="1134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4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pacing w:before="312" w:beforeLines="100" w:after="468" w:afterLines="150" w:line="480" w:lineRule="auto"/>
        <w:rPr>
          <w:rFonts w:hint="eastAsia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312" w:beforeLines="100" w:after="468" w:afterLines="150" w:line="480" w:lineRule="auto"/>
        <w:rPr>
          <w:rFonts w:hint="eastAsia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312" w:beforeLines="100" w:after="468" w:afterLines="150" w:line="480" w:lineRule="auto"/>
        <w:rPr>
          <w:rFonts w:hint="eastAsia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312" w:beforeLines="100" w:after="468" w:afterLines="150" w:line="480" w:lineRule="auto"/>
        <w:rPr>
          <w:rFonts w:hint="eastAsia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312" w:beforeLines="100" w:after="468" w:afterLines="150" w:line="480" w:lineRule="auto"/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、监理重点工作情况</w:t>
      </w:r>
    </w:p>
    <w:tbl>
      <w:tblPr>
        <w:tblStyle w:val="6"/>
        <w:tblW w:w="8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8"/>
        <w:gridCol w:w="4880"/>
        <w:gridCol w:w="1465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7" w:hRule="atLeast"/>
        </w:trPr>
        <w:tc>
          <w:tcPr>
            <w:tcW w:w="71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1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4880" w:type="dxa"/>
            <w:vAlign w:val="center"/>
          </w:tcPr>
          <w:p>
            <w:pPr>
              <w:tabs>
                <w:tab w:val="left" w:pos="271"/>
              </w:tabs>
              <w:spacing w:line="360" w:lineRule="auto"/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21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事项</w:t>
            </w:r>
          </w:p>
        </w:tc>
        <w:tc>
          <w:tcPr>
            <w:tcW w:w="14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1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本月重点工作情况</w:t>
            </w:r>
          </w:p>
        </w:tc>
        <w:tc>
          <w:tcPr>
            <w:tcW w:w="146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1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下月重点工作计划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3" w:hRule="atLeast"/>
        </w:trPr>
        <w:tc>
          <w:tcPr>
            <w:tcW w:w="718" w:type="dxa"/>
            <w:vMerge w:val="restart"/>
            <w:vAlign w:val="center"/>
          </w:tcPr>
          <w:p>
            <w:pPr>
              <w:spacing w:line="360" w:lineRule="auto"/>
              <w:rPr>
                <w:rFonts w:hint="default" w:eastAsiaTheme="minorEastAsia"/>
                <w:color w:val="FF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进度</w:t>
            </w:r>
          </w:p>
        </w:tc>
        <w:tc>
          <w:tcPr>
            <w:tcW w:w="4880" w:type="dxa"/>
            <w:vAlign w:val="top"/>
          </w:tcPr>
          <w:p>
            <w:pPr>
              <w:jc w:val="left"/>
              <w:rPr>
                <w:rFonts w:hint="default" w:eastAsia="宋体"/>
                <w:b w:val="0"/>
                <w:bCs/>
                <w:sz w:val="44"/>
                <w:szCs w:val="44"/>
                <w:u w:val="none"/>
                <w:lang w:val="en-US" w:eastAsia="zh-CN"/>
              </w:rPr>
            </w:pPr>
            <w:r>
              <w:rPr>
                <w:rFonts w:hint="default" w:eastAsia="宋体"/>
                <w:b w:val="0"/>
                <w:bCs/>
                <w:sz w:val="44"/>
                <w:szCs w:val="44"/>
                <w:u w:val="none"/>
                <w:lang w:val="en-US" w:eastAsia="zh-CN"/>
              </w:rPr>
              <w:drawing>
                <wp:inline distT="0" distB="0" distL="114300" distR="114300">
                  <wp:extent cx="2788920" cy="1706880"/>
                  <wp:effectExtent l="0" t="0" r="11430" b="7620"/>
                  <wp:docPr id="2" name="图片 1" descr="88da19974a66fb4ab746e3ee2ebb8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88da19974a66fb4ab746e3ee2ebb81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default" w:eastAsia="宋体"/>
                <w:b w:val="0"/>
                <w:bCs/>
                <w:sz w:val="44"/>
                <w:szCs w:val="44"/>
                <w:u w:val="none"/>
                <w:lang w:val="en-US" w:eastAsia="zh-CN"/>
              </w:rPr>
            </w:pPr>
            <w:r>
              <w:rPr>
                <w:rFonts w:hint="default" w:eastAsia="宋体"/>
                <w:b w:val="0"/>
                <w:bCs/>
                <w:sz w:val="44"/>
                <w:szCs w:val="44"/>
                <w:u w:val="none"/>
                <w:lang w:val="en-US" w:eastAsia="zh-CN"/>
              </w:rPr>
              <w:drawing>
                <wp:inline distT="0" distB="0" distL="114300" distR="114300">
                  <wp:extent cx="2787650" cy="1790065"/>
                  <wp:effectExtent l="0" t="0" r="12700" b="635"/>
                  <wp:docPr id="4" name="图片 2" descr="4e309204887d4bef7a26d9eb8f79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4e309204887d4bef7a26d9eb8f793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0" cy="179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default" w:eastAsia="宋体"/>
                <w:b w:val="0"/>
                <w:bCs/>
                <w:sz w:val="44"/>
                <w:szCs w:val="44"/>
                <w:u w:val="none"/>
                <w:lang w:val="en-US" w:eastAsia="zh-CN"/>
              </w:rPr>
            </w:pPr>
            <w:r>
              <w:rPr>
                <w:rFonts w:hint="default" w:eastAsia="宋体"/>
                <w:b w:val="0"/>
                <w:bCs/>
                <w:sz w:val="44"/>
                <w:szCs w:val="44"/>
                <w:u w:val="none"/>
                <w:lang w:val="en-US" w:eastAsia="zh-CN"/>
              </w:rPr>
              <w:drawing>
                <wp:inline distT="0" distB="0" distL="114300" distR="114300">
                  <wp:extent cx="2813685" cy="1745615"/>
                  <wp:effectExtent l="0" t="0" r="5715" b="6985"/>
                  <wp:docPr id="6" name="图片 4" descr="4c973fa0095296428898b38f0d2db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4c973fa0095296428898b38f0d2dba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685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default" w:eastAsia="宋体"/>
                <w:b w:val="0"/>
                <w:bCs/>
                <w:sz w:val="44"/>
                <w:szCs w:val="44"/>
                <w:u w:val="none"/>
                <w:lang w:val="en-US" w:eastAsia="zh-CN"/>
              </w:rPr>
            </w:pPr>
            <w:r>
              <w:rPr>
                <w:rFonts w:hint="default" w:eastAsia="宋体"/>
                <w:b w:val="0"/>
                <w:bCs/>
                <w:sz w:val="44"/>
                <w:szCs w:val="44"/>
                <w:u w:val="none"/>
                <w:lang w:val="en-US" w:eastAsia="zh-CN"/>
              </w:rPr>
              <w:drawing>
                <wp:inline distT="0" distB="0" distL="114300" distR="114300">
                  <wp:extent cx="2832100" cy="1801495"/>
                  <wp:effectExtent l="0" t="0" r="6350" b="8255"/>
                  <wp:docPr id="7" name="图片 5" descr="baefdeacd5bb30d87dbdf1366926e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 descr="baefdeacd5bb30d87dbdf1366926ef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default" w:eastAsia="宋体"/>
                <w:b w:val="0"/>
                <w:bCs/>
                <w:sz w:val="44"/>
                <w:szCs w:val="44"/>
                <w:u w:val="none"/>
                <w:lang w:val="en-US" w:eastAsia="zh-CN"/>
              </w:rPr>
            </w:pPr>
            <w:r>
              <w:rPr>
                <w:rFonts w:hint="default" w:eastAsia="宋体"/>
                <w:b w:val="0"/>
                <w:bCs/>
                <w:sz w:val="44"/>
                <w:szCs w:val="44"/>
                <w:u w:val="none"/>
                <w:lang w:val="en-US" w:eastAsia="zh-CN"/>
              </w:rPr>
              <w:drawing>
                <wp:inline distT="0" distB="0" distL="114300" distR="114300">
                  <wp:extent cx="2878455" cy="2038985"/>
                  <wp:effectExtent l="0" t="0" r="17145" b="18415"/>
                  <wp:docPr id="8" name="图片 6" descr="da98423787fc6994482afe595285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da98423787fc6994482afe5952850d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203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default" w:eastAsia="宋体"/>
                <w:b w:val="0"/>
                <w:bCs/>
                <w:sz w:val="44"/>
                <w:szCs w:val="44"/>
                <w:u w:val="none"/>
                <w:lang w:val="en-US" w:eastAsia="zh-CN"/>
              </w:rPr>
            </w:pPr>
            <w:r>
              <w:rPr>
                <w:rFonts w:hint="default" w:eastAsia="宋体"/>
                <w:b w:val="0"/>
                <w:bCs/>
                <w:sz w:val="44"/>
                <w:szCs w:val="44"/>
                <w:u w:val="none"/>
                <w:lang w:val="en-US" w:eastAsia="zh-CN"/>
              </w:rPr>
              <w:drawing>
                <wp:inline distT="0" distB="0" distL="114300" distR="114300">
                  <wp:extent cx="2889885" cy="1847215"/>
                  <wp:effectExtent l="0" t="0" r="5715" b="635"/>
                  <wp:docPr id="9" name="图片 7" descr="c97aebefd0d968f66b7167c05087a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 descr="c97aebefd0d968f66b7167c05087a3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5" cy="184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default" w:eastAsia="宋体"/>
                <w:b w:val="0"/>
                <w:bCs/>
                <w:sz w:val="44"/>
                <w:szCs w:val="44"/>
                <w:u w:val="none"/>
                <w:lang w:val="en-US" w:eastAsia="zh-CN"/>
              </w:rPr>
            </w:pPr>
            <w:r>
              <w:rPr>
                <w:rFonts w:hint="default" w:eastAsia="宋体"/>
                <w:b w:val="0"/>
                <w:bCs/>
                <w:sz w:val="44"/>
                <w:szCs w:val="44"/>
                <w:u w:val="none"/>
                <w:lang w:val="en-US" w:eastAsia="zh-CN"/>
              </w:rPr>
              <w:drawing>
                <wp:inline distT="0" distB="0" distL="114300" distR="114300">
                  <wp:extent cx="2856230" cy="2004060"/>
                  <wp:effectExtent l="0" t="0" r="1270" b="15240"/>
                  <wp:docPr id="10" name="图片 8" descr="80354b4255b5943d340bb7420e748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 descr="80354b4255b5943d340bb7420e7488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eastAsia" w:eastAsia="宋体"/>
                <w:b w:val="0"/>
                <w:bCs/>
                <w:sz w:val="44"/>
                <w:szCs w:val="44"/>
                <w:u w:val="none"/>
                <w:lang w:val="en-US" w:eastAsia="zh-CN"/>
              </w:rPr>
            </w:pPr>
            <w:r>
              <w:rPr>
                <w:rFonts w:hint="default" w:eastAsia="宋体"/>
                <w:b w:val="0"/>
                <w:bCs/>
                <w:sz w:val="44"/>
                <w:szCs w:val="44"/>
                <w:u w:val="none"/>
                <w:lang w:val="en-US" w:eastAsia="zh-CN"/>
              </w:rPr>
              <w:drawing>
                <wp:inline distT="0" distB="0" distL="114300" distR="114300">
                  <wp:extent cx="2877820" cy="2211070"/>
                  <wp:effectExtent l="0" t="0" r="17780" b="17780"/>
                  <wp:docPr id="11" name="图片 9" descr="dce89a8f57b8caeb4a630f31bad4f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9" descr="dce89a8f57b8caeb4a630f31bad4fe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5" w:type="dxa"/>
            <w:vAlign w:val="center"/>
          </w:tcPr>
          <w:p>
            <w:pPr>
              <w:numPr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1、临江物流园B2厂房结构加固安装累计完成99%；围栏安装完成100%；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支架安装完成100%；组件安装完成53%</w:t>
            </w: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       2、临江南物流园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A2</w:t>
            </w: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A3屋面组件安装累计完成100%；走道板完成100%；桥架安装累计完成85%；并网柜改造完成2台；屋面扁铁安装累计完成100%；逆变器安装8台；电缆</w:t>
            </w:r>
            <w:bookmarkStart w:id="1" w:name="_GoBack"/>
            <w:bookmarkEnd w:id="1"/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放线累计完成95%</w:t>
            </w: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3、杭州物流园南区B1、B2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桥架固定累计完成90%；逆变器安装10台；四平方放线完成100%；</w:t>
            </w:r>
            <w:r>
              <w:rPr>
                <w:rFonts w:hint="eastAsia" w:ascii="宋体" w:hAnsi="宋体"/>
                <w:sz w:val="24"/>
                <w:szCs w:val="24"/>
                <w:u w:val="none"/>
                <w:lang w:val="en-US" w:eastAsia="zh-CN"/>
              </w:rPr>
              <w:t>接地扁铁安装完成100%；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交流电缆放线完成95%；B2组件安装累计完成100%。</w:t>
            </w: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4、嘉兴物流园库2、库3加固件安装累计完成66%；加固件制作累计完成100%；库3拉条安装累计完成88%。</w:t>
            </w:r>
          </w:p>
        </w:tc>
        <w:tc>
          <w:tcPr>
            <w:tcW w:w="1465" w:type="dxa"/>
            <w:vAlign w:val="center"/>
          </w:tcPr>
          <w:p>
            <w:p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1、杭州物流园南区并网。</w:t>
            </w:r>
          </w:p>
          <w:p>
            <w:p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2、临江物流园B2加固验收，屋面组件吊装及安装；桥架及电气安装。 </w:t>
            </w:r>
          </w:p>
          <w:p>
            <w:p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3、临江南物流园并网验收。</w:t>
            </w:r>
          </w:p>
          <w:p>
            <w:p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4、嘉兴物流园仓库2、3结构加固安装；屋面光伏施工。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488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设备交付进度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组件已进场。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剩余材料到货。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488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设计交付进度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蓝图完成。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488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质量体系运作情况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质量体系健全，运行良好。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落实质量保证体系，并对运行情况进行检查。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488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施工图会审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已进行。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488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设计交底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已进行。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488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方案审查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督促施工单位按方案执行。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488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技术交底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已进行。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488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设计变更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有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安全</w:t>
            </w:r>
          </w:p>
        </w:tc>
        <w:tc>
          <w:tcPr>
            <w:tcW w:w="488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安全培训情况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新进场员工已进行安全培训。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督促施工单位对进场新员工进行安全教育。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安全交底情况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督促施工单位对危险作业点进行班前交底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继续督促施工单位进行班前交底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安全措施落实情况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落实不彻底，已要求施工单位认真落实。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监督施工单位认真落实安全措施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安全文明施工情况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现场安全、文明措施良好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加强现场安全管理力度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质量</w:t>
            </w:r>
          </w:p>
        </w:tc>
        <w:tc>
          <w:tcPr>
            <w:tcW w:w="488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主要工序质量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主要原材料质量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桥架外观检查合格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对主要材料进行检查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构（配）件质量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进场材料质量合格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把控好进场材料质量关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设备质量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逆变器外观检查合格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进行进场报验、开箱检查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质量验评情况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工序施工基本符合要求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加强过程检查力度，加大工序报验抽查力度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718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投资</w:t>
            </w:r>
          </w:p>
        </w:tc>
        <w:tc>
          <w:tcPr>
            <w:tcW w:w="488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资金情况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款项支付情况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预算外签证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合同</w:t>
            </w:r>
          </w:p>
        </w:tc>
        <w:tc>
          <w:tcPr>
            <w:tcW w:w="488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合同签订情况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施工合同签订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0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合同执行情况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按合同执行</w:t>
            </w:r>
          </w:p>
        </w:tc>
        <w:tc>
          <w:tcPr>
            <w:tcW w:w="1465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做好合同执行工作</w:t>
            </w:r>
          </w:p>
        </w:tc>
      </w:tr>
    </w:tbl>
    <w:p>
      <w:pPr>
        <w:spacing w:before="312" w:beforeLines="100" w:after="468" w:afterLines="150" w:line="480" w:lineRule="auto"/>
        <w:rPr>
          <w:rFonts w:hint="eastAsia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三、本月进度情况</w:t>
      </w:r>
    </w:p>
    <w:tbl>
      <w:tblPr>
        <w:tblStyle w:val="6"/>
        <w:tblW w:w="8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6"/>
        <w:gridCol w:w="973"/>
        <w:gridCol w:w="1053"/>
        <w:gridCol w:w="1054"/>
        <w:gridCol w:w="1079"/>
        <w:gridCol w:w="1175"/>
        <w:gridCol w:w="956"/>
        <w:gridCol w:w="954"/>
        <w:gridCol w:w="6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7942" w:type="dxa"/>
            <w:gridSpan w:val="8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杭州普枫新能源临江物流园</w:t>
            </w:r>
            <w:r>
              <w:rPr>
                <w:rFonts w:hint="eastAsia"/>
                <w:color w:val="000000" w:themeColor="text1"/>
                <w:sz w:val="20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1MWp分布式光伏发电项目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973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任务名称</w:t>
            </w: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计划开始时间</w:t>
            </w: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计划结束时间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施工开始日期</w:t>
            </w: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施工结束日期</w:t>
            </w:r>
          </w:p>
        </w:tc>
        <w:tc>
          <w:tcPr>
            <w:tcW w:w="956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本月实际完成（完成量/总量）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累计完成（完成量/总量）</w:t>
            </w:r>
          </w:p>
        </w:tc>
        <w:tc>
          <w:tcPr>
            <w:tcW w:w="698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73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结构增强</w:t>
            </w: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rFonts w:hint="default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hint="default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rFonts w:hint="default"/>
                <w:color w:val="000000" w:themeColor="text1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956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6.3%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99%</w:t>
            </w:r>
          </w:p>
        </w:tc>
        <w:tc>
          <w:tcPr>
            <w:tcW w:w="698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973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接地网拆除</w:t>
            </w: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956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698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973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围栏安装</w:t>
            </w: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956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698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7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支架安装</w:t>
            </w: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5.25</w:t>
            </w: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31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7.13</w:t>
            </w: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956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698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default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973" w:type="dxa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组件安装</w:t>
            </w: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01</w:t>
            </w: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07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7.20</w:t>
            </w: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6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53%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53%</w:t>
            </w:r>
          </w:p>
        </w:tc>
        <w:tc>
          <w:tcPr>
            <w:tcW w:w="698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7942" w:type="dxa"/>
            <w:gridSpan w:val="8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杭州普枫新能源杭州物流园</w:t>
            </w:r>
            <w:r>
              <w:rPr>
                <w:rFonts w:hint="eastAsia"/>
                <w:color w:val="000000" w:themeColor="text1"/>
                <w:sz w:val="20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1.5MWp分布式光伏发电项目（南区1MWp）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97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任务名称</w:t>
            </w: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计划开始时间</w:t>
            </w: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计划结束时间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施工开始日期</w:t>
            </w: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施工结束日期</w:t>
            </w:r>
          </w:p>
        </w:tc>
        <w:tc>
          <w:tcPr>
            <w:tcW w:w="95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本月实际完成（完成量/总量）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累计完成（完成量/总量）</w:t>
            </w:r>
          </w:p>
        </w:tc>
        <w:tc>
          <w:tcPr>
            <w:tcW w:w="698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7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组件安装</w:t>
            </w: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95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25%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698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973" w:type="dxa"/>
            <w:vAlign w:val="top"/>
          </w:tcPr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逆变器</w:t>
            </w:r>
          </w:p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安装</w:t>
            </w: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01</w:t>
            </w: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95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698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97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电气接线</w:t>
            </w: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01</w:t>
            </w: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07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95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95%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95%</w:t>
            </w:r>
          </w:p>
        </w:tc>
        <w:tc>
          <w:tcPr>
            <w:tcW w:w="698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7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并网柜基础及电缆沟</w:t>
            </w: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01</w:t>
            </w: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95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80%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80%</w:t>
            </w:r>
          </w:p>
        </w:tc>
        <w:tc>
          <w:tcPr>
            <w:tcW w:w="698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97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交流电缆敷设</w:t>
            </w: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07</w:t>
            </w: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95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95%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95%</w:t>
            </w:r>
          </w:p>
        </w:tc>
        <w:tc>
          <w:tcPr>
            <w:tcW w:w="698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97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接地线</w:t>
            </w: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04</w:t>
            </w: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07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95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698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7942" w:type="dxa"/>
            <w:gridSpan w:val="8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杭州普枫新能源临江南物流园</w:t>
            </w:r>
            <w:r>
              <w:rPr>
                <w:rFonts w:hint="eastAsia"/>
                <w:color w:val="000000" w:themeColor="text1"/>
                <w:sz w:val="20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0.85MWp分布式光伏发电项目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973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任务名称</w:t>
            </w: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计划开始时间</w:t>
            </w: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计划结束时间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施工开始日期</w:t>
            </w: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施工结束日期</w:t>
            </w:r>
          </w:p>
        </w:tc>
        <w:tc>
          <w:tcPr>
            <w:tcW w:w="956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本月实际完成（完成量/总量）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累计完成（完成量/总量）</w:t>
            </w:r>
          </w:p>
        </w:tc>
        <w:tc>
          <w:tcPr>
            <w:tcW w:w="698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73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组件安装</w:t>
            </w: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956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25%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698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973" w:type="dxa"/>
            <w:vAlign w:val="top"/>
          </w:tcPr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逆变器</w:t>
            </w:r>
          </w:p>
          <w:p>
            <w:pPr>
              <w:jc w:val="center"/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安装</w:t>
            </w: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rFonts w:hint="default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06</w:t>
            </w: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956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698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97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电气接线</w:t>
            </w: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02</w:t>
            </w: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08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02</w:t>
            </w: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956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95%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95%</w:t>
            </w:r>
          </w:p>
        </w:tc>
        <w:tc>
          <w:tcPr>
            <w:tcW w:w="698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7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并网柜基础及电缆沟</w:t>
            </w: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04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956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95%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95%</w:t>
            </w:r>
          </w:p>
        </w:tc>
        <w:tc>
          <w:tcPr>
            <w:tcW w:w="698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default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97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交流电缆敷设</w:t>
            </w: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</w:t>
            </w: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956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698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default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97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并网柜安装</w:t>
            </w: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07</w:t>
            </w: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</w:t>
            </w: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956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698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default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973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接地线</w:t>
            </w: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</w:t>
            </w: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08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956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698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7942" w:type="dxa"/>
            <w:gridSpan w:val="8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嘉兴市普枫新能源有限公司</w:t>
            </w:r>
            <w:r>
              <w:rPr>
                <w:rFonts w:hint="eastAsia"/>
                <w:color w:val="000000" w:themeColor="text1"/>
                <w:sz w:val="20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1.6MWp（平嘉仓储）分布式光伏发电项目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973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任务名称</w:t>
            </w: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计划开始时间</w:t>
            </w: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计划结束时间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施工开始日期</w:t>
            </w: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施工结束日期</w:t>
            </w:r>
          </w:p>
        </w:tc>
        <w:tc>
          <w:tcPr>
            <w:tcW w:w="956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本月实际完成（完成量/总量）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累计完成（完成量/总量）</w:t>
            </w:r>
          </w:p>
        </w:tc>
        <w:tc>
          <w:tcPr>
            <w:tcW w:w="698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7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结构增强加固安装</w:t>
            </w: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6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30%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70%</w:t>
            </w:r>
          </w:p>
        </w:tc>
        <w:tc>
          <w:tcPr>
            <w:tcW w:w="698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97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6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8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6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97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4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9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6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8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pacing w:before="312" w:beforeLines="100" w:after="468" w:afterLines="150" w:line="480" w:lineRule="auto"/>
        <w:rPr>
          <w:rFonts w:hint="eastAsia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四、下月进度计划</w:t>
      </w:r>
    </w:p>
    <w:tbl>
      <w:tblPr>
        <w:tblStyle w:val="6"/>
        <w:tblW w:w="8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7"/>
        <w:gridCol w:w="985"/>
        <w:gridCol w:w="1116"/>
        <w:gridCol w:w="1148"/>
        <w:gridCol w:w="2529"/>
        <w:gridCol w:w="23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8096" w:type="dxa"/>
            <w:gridSpan w:val="5"/>
            <w:vAlign w:val="center"/>
          </w:tcPr>
          <w:p>
            <w:pPr>
              <w:jc w:val="center"/>
              <w:rPr>
                <w:rFonts w:hint="eastAsia"/>
                <w:b/>
                <w:bCs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杭州普枫新能源杭州物流园</w:t>
            </w:r>
            <w:r>
              <w:rPr>
                <w:rFonts w:hint="eastAsia"/>
                <w:color w:val="000000" w:themeColor="text1"/>
                <w:sz w:val="20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1.5MWp分布式光伏发电项目（南区1MWp）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" w:type="dxa"/>
            <w:vAlign w:val="center"/>
          </w:tcPr>
          <w:p>
            <w:pPr>
              <w:jc w:val="center"/>
              <w:rPr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985" w:type="dxa"/>
            <w:vAlign w:val="center"/>
          </w:tcPr>
          <w:p>
            <w:pPr>
              <w:jc w:val="center"/>
              <w:rPr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任务名称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rPr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计划开始时间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rPr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计划结束时间</w:t>
            </w:r>
          </w:p>
        </w:tc>
        <w:tc>
          <w:tcPr>
            <w:tcW w:w="2529" w:type="dxa"/>
            <w:vAlign w:val="center"/>
          </w:tcPr>
          <w:p>
            <w:pPr>
              <w:jc w:val="center"/>
              <w:rPr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下月计划完成量</w:t>
            </w:r>
          </w:p>
        </w:tc>
        <w:tc>
          <w:tcPr>
            <w:tcW w:w="2318" w:type="dxa"/>
            <w:vAlign w:val="center"/>
          </w:tcPr>
          <w:p>
            <w:pPr>
              <w:jc w:val="center"/>
              <w:rPr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17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85" w:type="dxa"/>
            <w:vAlign w:val="top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8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29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18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施工进度严重滞后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8096" w:type="dxa"/>
            <w:gridSpan w:val="5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杭州普枫新能源临江物流园</w:t>
            </w:r>
            <w:r>
              <w:rPr>
                <w:rFonts w:hint="eastAsia"/>
                <w:color w:val="000000" w:themeColor="text1"/>
                <w:sz w:val="20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1MWp分布式光伏发电项目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985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任务名称</w:t>
            </w:r>
          </w:p>
        </w:tc>
        <w:tc>
          <w:tcPr>
            <w:tcW w:w="1116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计划开始时间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计划结束时间</w:t>
            </w:r>
          </w:p>
        </w:tc>
        <w:tc>
          <w:tcPr>
            <w:tcW w:w="2529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下月计划完成量</w:t>
            </w:r>
          </w:p>
        </w:tc>
        <w:tc>
          <w:tcPr>
            <w:tcW w:w="2318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85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8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29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18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施工进度严重滞后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8096" w:type="dxa"/>
            <w:gridSpan w:val="5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杭州普枫新能源临江南物流园</w:t>
            </w:r>
            <w:r>
              <w:rPr>
                <w:rFonts w:hint="eastAsia"/>
                <w:color w:val="000000" w:themeColor="text1"/>
                <w:sz w:val="20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0.85MWp分布式光伏发电项目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任务名称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计划开始时间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计划结束时间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下月计划完成量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施工进度严重滞后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8096" w:type="dxa"/>
            <w:gridSpan w:val="5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嘉兴市普枫新能源有限公司</w:t>
            </w:r>
            <w:r>
              <w:rPr>
                <w:rFonts w:hint="eastAsia"/>
                <w:color w:val="000000" w:themeColor="text1"/>
                <w:sz w:val="20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1.6MWp（平嘉仓储）分布式光伏发电项目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任务名称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计划开始时间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计划结束时间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下月计划完成量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kern w:val="2"/>
                <w:sz w:val="20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0"/>
                <w:szCs w:val="18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>
            <w:pPr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0" w:type="auto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施工进度严重滞后</w:t>
            </w:r>
          </w:p>
        </w:tc>
      </w:tr>
    </w:tbl>
    <w:p>
      <w:pPr>
        <w:spacing w:before="312" w:beforeLines="100" w:after="468" w:afterLines="150" w:line="480" w:lineRule="auto"/>
        <w:rPr>
          <w:rFonts w:hint="eastAsia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五、安全文明施工情况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992"/>
        <w:gridCol w:w="992"/>
        <w:gridCol w:w="1276"/>
        <w:gridCol w:w="709"/>
        <w:gridCol w:w="850"/>
        <w:gridCol w:w="850"/>
        <w:gridCol w:w="947"/>
        <w:gridCol w:w="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3" w:type="dxa"/>
            <w:gridSpan w:val="3"/>
          </w:tcPr>
          <w:p>
            <w:pPr>
              <w:spacing w:line="360" w:lineRule="auto"/>
              <w:jc w:val="left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事故（起）</w:t>
            </w:r>
          </w:p>
        </w:tc>
        <w:tc>
          <w:tcPr>
            <w:tcW w:w="1276" w:type="dxa"/>
            <w:vMerge w:val="restart"/>
          </w:tcPr>
          <w:p>
            <w:pPr>
              <w:spacing w:line="360" w:lineRule="auto"/>
              <w:jc w:val="left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编制安全策划文件（份）</w:t>
            </w:r>
          </w:p>
        </w:tc>
        <w:tc>
          <w:tcPr>
            <w:tcW w:w="709" w:type="dxa"/>
            <w:vMerge w:val="restart"/>
          </w:tcPr>
          <w:p>
            <w:pPr>
              <w:spacing w:line="360" w:lineRule="auto"/>
              <w:jc w:val="left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施工人数</w:t>
            </w:r>
          </w:p>
        </w:tc>
        <w:tc>
          <w:tcPr>
            <w:tcW w:w="3594" w:type="dxa"/>
            <w:gridSpan w:val="4"/>
          </w:tcPr>
          <w:p>
            <w:pPr>
              <w:spacing w:line="360" w:lineRule="auto"/>
              <w:jc w:val="left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安全分包情况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>
            <w:pPr>
              <w:spacing w:line="360" w:lineRule="auto"/>
              <w:jc w:val="left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人身重伤</w:t>
            </w:r>
          </w:p>
        </w:tc>
        <w:tc>
          <w:tcPr>
            <w:tcW w:w="992" w:type="dxa"/>
          </w:tcPr>
          <w:p>
            <w:pPr>
              <w:spacing w:line="360" w:lineRule="auto"/>
              <w:jc w:val="left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机械设备</w:t>
            </w:r>
          </w:p>
        </w:tc>
        <w:tc>
          <w:tcPr>
            <w:tcW w:w="992" w:type="dxa"/>
          </w:tcPr>
          <w:p>
            <w:pPr>
              <w:spacing w:line="360" w:lineRule="auto"/>
              <w:jc w:val="left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电网事故</w:t>
            </w:r>
          </w:p>
        </w:tc>
        <w:tc>
          <w:tcPr>
            <w:tcW w:w="1276" w:type="dxa"/>
            <w:vMerge w:val="continue"/>
          </w:tcPr>
          <w:p>
            <w:pPr>
              <w:spacing w:line="360" w:lineRule="auto"/>
              <w:jc w:val="left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vMerge w:val="continue"/>
          </w:tcPr>
          <w:p>
            <w:pPr>
              <w:spacing w:line="360" w:lineRule="auto"/>
              <w:jc w:val="left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0" w:type="dxa"/>
          </w:tcPr>
          <w:p>
            <w:pPr>
              <w:spacing w:line="360" w:lineRule="auto"/>
              <w:jc w:val="left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分包队伍数量</w:t>
            </w:r>
          </w:p>
        </w:tc>
        <w:tc>
          <w:tcPr>
            <w:tcW w:w="850" w:type="dxa"/>
          </w:tcPr>
          <w:p>
            <w:pPr>
              <w:spacing w:line="360" w:lineRule="auto"/>
              <w:jc w:val="left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分包队伍人数</w:t>
            </w:r>
          </w:p>
        </w:tc>
        <w:tc>
          <w:tcPr>
            <w:tcW w:w="947" w:type="dxa"/>
          </w:tcPr>
          <w:p>
            <w:pPr>
              <w:spacing w:line="360" w:lineRule="auto"/>
              <w:jc w:val="left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系统外包队伍数量</w:t>
            </w:r>
          </w:p>
        </w:tc>
        <w:tc>
          <w:tcPr>
            <w:tcW w:w="947" w:type="dxa"/>
          </w:tcPr>
          <w:p>
            <w:pPr>
              <w:spacing w:line="360" w:lineRule="auto"/>
              <w:jc w:val="left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系统外队伍人数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center"/>
              <w:rPr>
                <w:rFonts w:hint="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4份</w:t>
            </w:r>
          </w:p>
        </w:tc>
        <w:tc>
          <w:tcPr>
            <w:tcW w:w="709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</w:t>
            </w:r>
          </w:p>
        </w:tc>
        <w:tc>
          <w:tcPr>
            <w:tcW w:w="850" w:type="dxa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850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／</w:t>
            </w:r>
          </w:p>
        </w:tc>
        <w:tc>
          <w:tcPr>
            <w:tcW w:w="947" w:type="dxa"/>
            <w:vAlign w:val="center"/>
          </w:tcPr>
          <w:p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／</w:t>
            </w:r>
          </w:p>
        </w:tc>
        <w:tc>
          <w:tcPr>
            <w:tcW w:w="947" w:type="dxa"/>
            <w:vAlign w:val="center"/>
          </w:tcPr>
          <w:p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／</w:t>
            </w:r>
          </w:p>
        </w:tc>
      </w:tr>
    </w:tbl>
    <w:p>
      <w:pPr>
        <w:spacing w:before="312" w:beforeLines="100" w:after="468" w:afterLines="150" w:line="480" w:lineRule="auto"/>
        <w:rPr>
          <w:rFonts w:hint="eastAsia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312" w:beforeLines="100" w:after="468" w:afterLines="150" w:line="480" w:lineRule="auto"/>
        <w:rPr>
          <w:rFonts w:hint="eastAsia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六、施工重点工作情况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3402"/>
        <w:gridCol w:w="40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22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2"/>
                <w:szCs w:val="18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22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2"/>
                <w:szCs w:val="18"/>
                <w14:textFill>
                  <w14:solidFill>
                    <w14:schemeClr w14:val="tx1"/>
                  </w14:solidFill>
                </w14:textFill>
              </w:rPr>
              <w:t>本月重点工作情况</w:t>
            </w:r>
          </w:p>
        </w:tc>
        <w:tc>
          <w:tcPr>
            <w:tcW w:w="4019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 w:val="22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2"/>
                <w:szCs w:val="18"/>
                <w14:textFill>
                  <w14:solidFill>
                    <w14:schemeClr w14:val="tx1"/>
                  </w14:solidFill>
                </w14:textFill>
              </w:rPr>
              <w:t>下月重点工作计划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</w:trPr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进度管理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rPr>
                <w:rFonts w:hint="eastAsia" w:eastAsiaTheme="minor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督促施工单位材料进场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4019" w:type="dxa"/>
            <w:vAlign w:val="center"/>
          </w:tcPr>
          <w:p>
            <w:pPr>
              <w:spacing w:line="360" w:lineRule="auto"/>
              <w:rPr>
                <w:rFonts w:hint="eastAsia" w:eastAsiaTheme="minor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要求施工单位合理安排施工进度计划，及时调整人力、物力</w:t>
            </w:r>
            <w:r>
              <w:rPr>
                <w:rFonts w:hint="eastAsia"/>
                <w:color w:val="000000" w:themeColor="text1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安全管理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督促施工单位报审《安全文明施工管理制度》，安委会要定期对现场进行安全检查； 对施工人员进行安全培训、考试，提高作业人员安全防范意识，落实安全文明施工措施。</w:t>
            </w:r>
          </w:p>
        </w:tc>
        <w:tc>
          <w:tcPr>
            <w:tcW w:w="4019" w:type="dxa"/>
            <w:vAlign w:val="center"/>
          </w:tcPr>
          <w:p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审查施工项目部&lt;&lt;安全文明措施&gt;&gt;及施工项目部施工安全管理人员、特殊工种、特殊作业人员资格证明文件，实施安全监理，发现问题及时提出整改要求并限期改正。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spacing w:line="360" w:lineRule="auto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质量管理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轨道到场进行检查；吊装施工进行旁站；督促施工单位质量通病防治措施；监督施工项目部落实强制性条文的执行计划。</w:t>
            </w:r>
          </w:p>
        </w:tc>
        <w:tc>
          <w:tcPr>
            <w:tcW w:w="4019" w:type="dxa"/>
            <w:vAlign w:val="center"/>
          </w:tcPr>
          <w:p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督促施工单位按照施工工艺和设计要求进行施工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spacing w:line="360" w:lineRule="auto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技术管理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督促施工单位对施工人员进行技术交底，现场检查施工人员是否按照技术交底内容进行施工。</w:t>
            </w:r>
          </w:p>
        </w:tc>
        <w:tc>
          <w:tcPr>
            <w:tcW w:w="4019" w:type="dxa"/>
            <w:vAlign w:val="center"/>
          </w:tcPr>
          <w:p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参与过程中重要（关键）环节的施工技术交底会，监督检查执行情况。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spacing w:line="360" w:lineRule="auto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造价管理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对施工单位申请的工程款及时进行评审</w:t>
            </w:r>
          </w:p>
        </w:tc>
        <w:tc>
          <w:tcPr>
            <w:tcW w:w="4019" w:type="dxa"/>
            <w:vAlign w:val="center"/>
          </w:tcPr>
          <w:p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对工程量实施计量，及时审核施工项目部报送的工程量清单、进度款支付申请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spacing w:line="360" w:lineRule="auto"/>
              <w:rPr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物资供应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协助建设单位做好建设物资进场工作，督促施工单位做好物资保管工作，要求施工单位安排人员对施工现场进行巡查，确保物资不遗失。</w:t>
            </w:r>
          </w:p>
        </w:tc>
        <w:tc>
          <w:tcPr>
            <w:tcW w:w="4019" w:type="dxa"/>
            <w:vAlign w:val="center"/>
          </w:tcPr>
          <w:p>
            <w:pPr>
              <w:spacing w:line="360" w:lineRule="auto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督促施工单位按照日期的要求，安排人员进行施工。</w:t>
            </w:r>
          </w:p>
        </w:tc>
      </w:tr>
    </w:tbl>
    <w:p>
      <w:pPr>
        <w:spacing w:before="1092" w:beforeLines="350" w:line="360" w:lineRule="auto"/>
        <w:jc w:val="right"/>
        <w:rPr>
          <w:rFonts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常州正衡电力工程监理有限公司</w:t>
      </w:r>
    </w:p>
    <w:p>
      <w:pPr>
        <w:jc w:val="both"/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杭州普枫新能源杭州物流园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1.5MWp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分布式光伏发电项目</w:t>
      </w:r>
      <w:r>
        <w:rPr>
          <w:rFonts w:hint="eastAsia" w:asciiTheme="minorEastAsia" w:hAnsiTheme="minorEastAsia"/>
          <w:sz w:val="24"/>
        </w:rPr>
        <w:t>、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杭州普枫新能源临江物流园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1MWp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分布式光伏发电项目</w:t>
      </w:r>
      <w:r>
        <w:rPr>
          <w:rFonts w:hint="eastAsia" w:asciiTheme="minorEastAsia" w:hAnsiTheme="minorEastAsia"/>
          <w:sz w:val="24"/>
        </w:rPr>
        <w:t>、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杭州普枫新能源临江南物流园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0.85MWp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分布式光伏发电项目</w:t>
      </w:r>
      <w:r>
        <w:rPr>
          <w:rFonts w:hint="eastAsia" w:asciiTheme="minorEastAsia" w:hAnsiTheme="minorEastAsia"/>
          <w:sz w:val="24"/>
        </w:rPr>
        <w:t>、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嘉兴市普枫新能源有限责任公司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1.6MWp（平嘉仓储）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分布式光伏发电项目</w:t>
      </w:r>
    </w:p>
    <w:p>
      <w:pPr>
        <w:jc w:val="righ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2020年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27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日</w:t>
      </w:r>
    </w:p>
    <w:p>
      <w:pP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440" w:right="1797" w:bottom="1440" w:left="1797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40521851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097"/>
    <w:rsid w:val="00011723"/>
    <w:rsid w:val="00055EBC"/>
    <w:rsid w:val="00077CC1"/>
    <w:rsid w:val="00097764"/>
    <w:rsid w:val="000E1317"/>
    <w:rsid w:val="00124F85"/>
    <w:rsid w:val="00141B91"/>
    <w:rsid w:val="00144C26"/>
    <w:rsid w:val="00155D85"/>
    <w:rsid w:val="00236CF4"/>
    <w:rsid w:val="00285532"/>
    <w:rsid w:val="00392D99"/>
    <w:rsid w:val="003A2AB0"/>
    <w:rsid w:val="003A5A33"/>
    <w:rsid w:val="003A5D2F"/>
    <w:rsid w:val="003F2278"/>
    <w:rsid w:val="00440F97"/>
    <w:rsid w:val="00471426"/>
    <w:rsid w:val="004C39A3"/>
    <w:rsid w:val="00502559"/>
    <w:rsid w:val="00610000"/>
    <w:rsid w:val="00624B5B"/>
    <w:rsid w:val="006669A3"/>
    <w:rsid w:val="006A47F0"/>
    <w:rsid w:val="00732892"/>
    <w:rsid w:val="00732DC3"/>
    <w:rsid w:val="007C51F9"/>
    <w:rsid w:val="00812E5F"/>
    <w:rsid w:val="00890A11"/>
    <w:rsid w:val="008960B9"/>
    <w:rsid w:val="008D7C3C"/>
    <w:rsid w:val="00914097"/>
    <w:rsid w:val="00940405"/>
    <w:rsid w:val="00940639"/>
    <w:rsid w:val="00982770"/>
    <w:rsid w:val="009868DA"/>
    <w:rsid w:val="009A69D0"/>
    <w:rsid w:val="009D775B"/>
    <w:rsid w:val="009F1FCB"/>
    <w:rsid w:val="009F6C33"/>
    <w:rsid w:val="00A54037"/>
    <w:rsid w:val="00A54B17"/>
    <w:rsid w:val="00A7236B"/>
    <w:rsid w:val="00A856E8"/>
    <w:rsid w:val="00AA2FFC"/>
    <w:rsid w:val="00AD701C"/>
    <w:rsid w:val="00B327D6"/>
    <w:rsid w:val="00B41BAE"/>
    <w:rsid w:val="00B86917"/>
    <w:rsid w:val="00B96AEA"/>
    <w:rsid w:val="00BD6F84"/>
    <w:rsid w:val="00C66F22"/>
    <w:rsid w:val="00CA6B9A"/>
    <w:rsid w:val="00CB0F9B"/>
    <w:rsid w:val="00D551C8"/>
    <w:rsid w:val="00D858ED"/>
    <w:rsid w:val="00DC684A"/>
    <w:rsid w:val="00EB1CD3"/>
    <w:rsid w:val="00EC2E45"/>
    <w:rsid w:val="00F20C3B"/>
    <w:rsid w:val="00F7297C"/>
    <w:rsid w:val="00F85F8E"/>
    <w:rsid w:val="00FD4BE9"/>
    <w:rsid w:val="01414353"/>
    <w:rsid w:val="02E634EE"/>
    <w:rsid w:val="0369272B"/>
    <w:rsid w:val="045808C7"/>
    <w:rsid w:val="05017662"/>
    <w:rsid w:val="06467EDF"/>
    <w:rsid w:val="07813387"/>
    <w:rsid w:val="08046824"/>
    <w:rsid w:val="0D830EA6"/>
    <w:rsid w:val="0DCC69A8"/>
    <w:rsid w:val="0E1867C8"/>
    <w:rsid w:val="0E190185"/>
    <w:rsid w:val="0F960831"/>
    <w:rsid w:val="10762991"/>
    <w:rsid w:val="11013837"/>
    <w:rsid w:val="114179A0"/>
    <w:rsid w:val="11A0337E"/>
    <w:rsid w:val="162C27CB"/>
    <w:rsid w:val="168035D6"/>
    <w:rsid w:val="16A01226"/>
    <w:rsid w:val="16A87B46"/>
    <w:rsid w:val="17685DE0"/>
    <w:rsid w:val="199B7109"/>
    <w:rsid w:val="1A961AB1"/>
    <w:rsid w:val="1AB8229E"/>
    <w:rsid w:val="1B11722C"/>
    <w:rsid w:val="1EB11C69"/>
    <w:rsid w:val="1F8326BC"/>
    <w:rsid w:val="201858B5"/>
    <w:rsid w:val="20D31B53"/>
    <w:rsid w:val="215E49E4"/>
    <w:rsid w:val="21712324"/>
    <w:rsid w:val="23501577"/>
    <w:rsid w:val="23C07E6C"/>
    <w:rsid w:val="24186FBC"/>
    <w:rsid w:val="2549780F"/>
    <w:rsid w:val="27E06800"/>
    <w:rsid w:val="27FD06F1"/>
    <w:rsid w:val="2AC20FB4"/>
    <w:rsid w:val="2E2B10F5"/>
    <w:rsid w:val="30A24269"/>
    <w:rsid w:val="34B5338C"/>
    <w:rsid w:val="34C26F7D"/>
    <w:rsid w:val="380714BD"/>
    <w:rsid w:val="38BF4998"/>
    <w:rsid w:val="3AEC5DEB"/>
    <w:rsid w:val="3CA1135A"/>
    <w:rsid w:val="4194536F"/>
    <w:rsid w:val="44800732"/>
    <w:rsid w:val="45387575"/>
    <w:rsid w:val="45557E0F"/>
    <w:rsid w:val="464E7B33"/>
    <w:rsid w:val="47C2707C"/>
    <w:rsid w:val="48B26777"/>
    <w:rsid w:val="4CE83607"/>
    <w:rsid w:val="4EBE1630"/>
    <w:rsid w:val="4FF162DD"/>
    <w:rsid w:val="559A58D3"/>
    <w:rsid w:val="55A83AAF"/>
    <w:rsid w:val="561D36BE"/>
    <w:rsid w:val="56F905B2"/>
    <w:rsid w:val="56FA5A54"/>
    <w:rsid w:val="57D8095D"/>
    <w:rsid w:val="57FC5AE3"/>
    <w:rsid w:val="5A360C29"/>
    <w:rsid w:val="5ACC2DA8"/>
    <w:rsid w:val="5C116D80"/>
    <w:rsid w:val="5CF614B1"/>
    <w:rsid w:val="5DC51A55"/>
    <w:rsid w:val="5E626EF5"/>
    <w:rsid w:val="601E02F7"/>
    <w:rsid w:val="659D769D"/>
    <w:rsid w:val="6976022A"/>
    <w:rsid w:val="6BF27F57"/>
    <w:rsid w:val="6C146B04"/>
    <w:rsid w:val="6C254B33"/>
    <w:rsid w:val="6E511395"/>
    <w:rsid w:val="6EE36A75"/>
    <w:rsid w:val="70F67557"/>
    <w:rsid w:val="712A6FC9"/>
    <w:rsid w:val="71381829"/>
    <w:rsid w:val="72D76FCE"/>
    <w:rsid w:val="755325D9"/>
    <w:rsid w:val="76A55366"/>
    <w:rsid w:val="784A4E88"/>
    <w:rsid w:val="797A074D"/>
    <w:rsid w:val="797B4BD5"/>
    <w:rsid w:val="7CDF3DC1"/>
    <w:rsid w:val="7D300941"/>
    <w:rsid w:val="7FC9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2">
    <w:name w:val="样式5"/>
    <w:basedOn w:val="1"/>
    <w:qFormat/>
    <w:uiPriority w:val="0"/>
    <w:pPr>
      <w:topLinePunct/>
      <w:adjustRightInd w:val="0"/>
      <w:spacing w:line="1200" w:lineRule="auto"/>
      <w:jc w:val="center"/>
    </w:pPr>
    <w:rPr>
      <w:rFonts w:ascii="宋体" w:hAnsi="宋体" w:eastAsia="黑体"/>
      <w:sz w:val="26"/>
      <w:szCs w:val="26"/>
    </w:rPr>
  </w:style>
  <w:style w:type="paragraph" w:customStyle="1" w:styleId="13">
    <w:name w:val="正文文本 21"/>
    <w:basedOn w:val="1"/>
    <w:qFormat/>
    <w:uiPriority w:val="0"/>
    <w:pPr>
      <w:spacing w:after="120" w:line="480" w:lineRule="auto"/>
    </w:pPr>
    <w:rPr>
      <w:rFonts w:ascii="Times New Roman" w:hAnsi="Times New Roman"/>
      <w:szCs w:val="24"/>
    </w:rPr>
  </w:style>
  <w:style w:type="paragraph" w:customStyle="1" w:styleId="14">
    <w:name w:val="Default"/>
    <w:basedOn w:val="1"/>
    <w:qFormat/>
    <w:uiPriority w:val="0"/>
    <w:pPr>
      <w:autoSpaceDE w:val="0"/>
      <w:autoSpaceDN w:val="0"/>
      <w:adjustRightInd w:val="0"/>
    </w:pPr>
    <w:rPr>
      <w:rFonts w:ascii="黑体" w:hAnsi="Calibri" w:eastAsia="黑体" w:cs="黑体"/>
      <w:color w:val="00000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439D34-357C-41F6-90D0-6CD0077ACB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1620</Words>
  <Characters>1872</Characters>
  <Lines>16</Lines>
  <Paragraphs>4</Paragraphs>
  <TotalTime>5</TotalTime>
  <ScaleCrop>false</ScaleCrop>
  <LinksUpToDate>false</LinksUpToDate>
  <CharactersWithSpaces>1989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2014-08-21T07:50:00Z</dcterms:created>
  <dc:creator>DELL-N4050</dc:creator>
  <cp:lastModifiedBy>Administrator</cp:lastModifiedBy>
  <cp:lastPrinted>2019-10-06T08:25:00Z</cp:lastPrinted>
  <dcterms:modified xsi:type="dcterms:W3CDTF">2020-07-27T15:44:19Z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