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562" w:firstLineChars="200"/>
        <w:jc w:val="center"/>
        <w:textAlignment w:val="center"/>
        <w:outlineLvl w:val="9"/>
        <w:rPr>
          <w:rFonts w:hint="eastAsia"/>
          <w:b/>
          <w:bCs/>
          <w:sz w:val="28"/>
          <w:szCs w:val="28"/>
          <w:lang w:val="en-US" w:eastAsia="zh-CN"/>
        </w:rPr>
      </w:pPr>
      <w:r>
        <w:rPr>
          <w:rFonts w:hint="eastAsia"/>
          <w:b/>
          <w:bCs/>
          <w:sz w:val="28"/>
          <w:szCs w:val="28"/>
          <w:u w:val="single"/>
          <w:lang w:val="en-US" w:eastAsia="zh-CN"/>
        </w:rPr>
        <w:t>常州利腾机械有限公司1.1MWP光伏</w:t>
      </w:r>
      <w:r>
        <w:rPr>
          <w:rFonts w:hint="eastAsia"/>
          <w:b/>
          <w:bCs/>
          <w:sz w:val="28"/>
          <w:szCs w:val="28"/>
          <w:lang w:val="en-US" w:eastAsia="zh-CN"/>
        </w:rPr>
        <w:t>项目</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3654" w:firstLineChars="1300"/>
        <w:jc w:val="both"/>
        <w:textAlignment w:val="center"/>
        <w:outlineLvl w:val="9"/>
        <w:rPr>
          <w:rFonts w:hint="eastAsia"/>
          <w:b/>
          <w:bCs/>
          <w:sz w:val="28"/>
          <w:szCs w:val="28"/>
          <w:lang w:val="en-US" w:eastAsia="zh-CN"/>
        </w:rPr>
      </w:pPr>
      <w:r>
        <w:rPr>
          <w:rFonts w:hint="eastAsia"/>
          <w:b/>
          <w:bCs/>
          <w:sz w:val="28"/>
          <w:szCs w:val="28"/>
          <w:lang w:val="en-US" w:eastAsia="zh-CN"/>
        </w:rPr>
        <w:t>监理月报</w:t>
      </w:r>
    </w:p>
    <w:p>
      <w:pPr>
        <w:rPr>
          <w:rFonts w:hint="eastAsia"/>
          <w:sz w:val="24"/>
          <w:szCs w:val="24"/>
          <w:lang w:val="en-US" w:eastAsia="zh-CN"/>
        </w:rPr>
      </w:pPr>
    </w:p>
    <w:p>
      <w:pPr>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报告日期</w:t>
      </w:r>
      <w:r>
        <w:rPr>
          <w:rFonts w:hint="eastAsia" w:ascii="宋体" w:hAnsi="宋体" w:eastAsia="宋体" w:cs="宋体"/>
          <w:sz w:val="24"/>
          <w:szCs w:val="24"/>
          <w:u w:val="single"/>
          <w:lang w:val="en-US" w:eastAsia="zh-CN"/>
        </w:rPr>
        <w:t xml:space="preserve">   2020年08月31日  </w:t>
      </w:r>
      <w:r>
        <w:rPr>
          <w:rFonts w:hint="eastAsia" w:ascii="宋体" w:hAnsi="宋体" w:eastAsia="宋体" w:cs="宋体"/>
          <w:sz w:val="24"/>
          <w:szCs w:val="24"/>
          <w:lang w:val="en-US" w:eastAsia="zh-CN"/>
        </w:rPr>
        <w:t xml:space="preserve">                             编号：</w:t>
      </w:r>
      <w:r>
        <w:rPr>
          <w:rFonts w:hint="eastAsia" w:ascii="宋体" w:hAnsi="宋体" w:eastAsia="宋体" w:cs="宋体"/>
          <w:sz w:val="24"/>
          <w:szCs w:val="24"/>
          <w:u w:val="single"/>
          <w:lang w:val="en-US" w:eastAsia="zh-CN"/>
        </w:rPr>
        <w:t xml:space="preserve"> 002               </w:t>
      </w:r>
    </w:p>
    <w:tbl>
      <w:tblPr>
        <w:tblStyle w:val="4"/>
        <w:tblW w:w="87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2834"/>
        <w:gridCol w:w="1456"/>
        <w:gridCol w:w="30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426" w:type="dxa"/>
          </w:tcPr>
          <w:p>
            <w:pPr>
              <w:rPr>
                <w:rFonts w:hint="eastAsia" w:ascii="宋体" w:hAnsi="宋体" w:eastAsia="宋体" w:cs="宋体"/>
                <w:sz w:val="24"/>
                <w:szCs w:val="24"/>
                <w:lang w:val="en-US" w:eastAsia="zh-CN"/>
              </w:rPr>
            </w:pPr>
          </w:p>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lang w:val="en-US" w:eastAsia="zh-CN"/>
              </w:rPr>
              <w:t>项目名称</w:t>
            </w:r>
          </w:p>
        </w:tc>
        <w:tc>
          <w:tcPr>
            <w:tcW w:w="2834" w:type="dxa"/>
            <w:vAlign w:val="center"/>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常州利腾机械有限公司1.1MWP光伏项目</w:t>
            </w:r>
          </w:p>
        </w:tc>
        <w:tc>
          <w:tcPr>
            <w:tcW w:w="1456" w:type="dxa"/>
          </w:tcPr>
          <w:p>
            <w:pPr>
              <w:rPr>
                <w:rFonts w:hint="eastAsia" w:ascii="宋体" w:hAnsi="宋体" w:eastAsia="宋体" w:cs="宋体"/>
                <w:sz w:val="24"/>
                <w:szCs w:val="24"/>
                <w:vertAlign w:val="baseline"/>
                <w:lang w:val="en-US" w:eastAsia="zh-CN"/>
              </w:rPr>
            </w:pPr>
          </w:p>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业主单位</w:t>
            </w:r>
          </w:p>
          <w:p>
            <w:pPr>
              <w:rPr>
                <w:rFonts w:hint="eastAsia" w:ascii="宋体" w:hAnsi="宋体" w:eastAsia="宋体" w:cs="宋体"/>
                <w:sz w:val="24"/>
                <w:szCs w:val="24"/>
                <w:vertAlign w:val="baseline"/>
                <w:lang w:val="en-US" w:eastAsia="zh-CN"/>
              </w:rPr>
            </w:pPr>
          </w:p>
        </w:tc>
        <w:tc>
          <w:tcPr>
            <w:tcW w:w="3075" w:type="dxa"/>
            <w:vAlign w:val="center"/>
          </w:tcPr>
          <w:p>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浙江交投新能源投资有限公司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项目规模</w:t>
            </w:r>
          </w:p>
        </w:tc>
        <w:tc>
          <w:tcPr>
            <w:tcW w:w="2834" w:type="dxa"/>
          </w:tcPr>
          <w:p>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屋顶分布式</w:t>
            </w:r>
          </w:p>
        </w:tc>
        <w:tc>
          <w:tcPr>
            <w:tcW w:w="145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项目地址</w:t>
            </w:r>
          </w:p>
        </w:tc>
        <w:tc>
          <w:tcPr>
            <w:tcW w:w="3075"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金坛区工业园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监理负责人</w:t>
            </w:r>
          </w:p>
        </w:tc>
        <w:tc>
          <w:tcPr>
            <w:tcW w:w="2834"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        薛庚</w:t>
            </w:r>
          </w:p>
        </w:tc>
        <w:tc>
          <w:tcPr>
            <w:tcW w:w="145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监理人数</w:t>
            </w:r>
          </w:p>
        </w:tc>
        <w:tc>
          <w:tcPr>
            <w:tcW w:w="3075"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         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进场时间</w:t>
            </w:r>
          </w:p>
        </w:tc>
        <w:tc>
          <w:tcPr>
            <w:tcW w:w="2834"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2020年06月15日</w:t>
            </w:r>
          </w:p>
        </w:tc>
        <w:tc>
          <w:tcPr>
            <w:tcW w:w="1456" w:type="dxa"/>
          </w:tcPr>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合同工期</w:t>
            </w:r>
          </w:p>
        </w:tc>
        <w:tc>
          <w:tcPr>
            <w:tcW w:w="3075"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1426" w:type="dxa"/>
          </w:tcPr>
          <w:p>
            <w:pPr>
              <w:rPr>
                <w:rFonts w:hint="eastAsia" w:ascii="宋体" w:hAnsi="宋体" w:eastAsia="宋体" w:cs="宋体"/>
                <w:sz w:val="24"/>
                <w:szCs w:val="24"/>
                <w:vertAlign w:val="baseline"/>
                <w:lang w:val="en-US" w:eastAsia="zh-CN"/>
              </w:rPr>
            </w:pPr>
          </w:p>
          <w:p>
            <w:p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参建单位</w:t>
            </w:r>
          </w:p>
        </w:tc>
        <w:tc>
          <w:tcPr>
            <w:tcW w:w="7365" w:type="dxa"/>
            <w:gridSpan w:val="3"/>
          </w:tcPr>
          <w:p>
            <w:p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建设单位：浙江交投新能源投资有限公司</w:t>
            </w:r>
          </w:p>
          <w:p>
            <w:p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监理单位：常州正衡电力工程监理有限公司</w:t>
            </w:r>
          </w:p>
          <w:p>
            <w:p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设计单位：成都常景电力工程有限公司</w:t>
            </w:r>
          </w:p>
          <w:p>
            <w:p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总承包单位：山东登莱电力工程有限公司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1" w:type="dxa"/>
            <w:gridSpan w:val="4"/>
          </w:tcPr>
          <w:p>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报告内容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8791" w:type="dxa"/>
            <w:gridSpan w:val="4"/>
          </w:tcPr>
          <w:p>
            <w:pPr>
              <w:numPr>
                <w:ilvl w:val="0"/>
                <w:numId w:val="1"/>
              </w:numPr>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项目概况</w:t>
            </w:r>
          </w:p>
          <w:p>
            <w:pPr>
              <w:keepNext w:val="0"/>
              <w:keepLines w:val="0"/>
              <w:pageBreakBefore w:val="0"/>
              <w:kinsoku/>
              <w:wordWrap/>
              <w:overflowPunct/>
              <w:topLinePunct w:val="0"/>
              <w:bidi w:val="0"/>
              <w:adjustRightInd/>
              <w:spacing w:line="360" w:lineRule="auto"/>
              <w:ind w:right="0" w:rightChars="0" w:firstLine="480" w:firstLineChars="200"/>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本项目为</w:t>
            </w:r>
            <w:r>
              <w:rPr>
                <w:rFonts w:hint="eastAsia" w:ascii="宋体" w:hAnsi="宋体" w:eastAsia="宋体" w:cs="宋体"/>
                <w:sz w:val="24"/>
                <w:szCs w:val="24"/>
                <w:vertAlign w:val="baseline"/>
                <w:lang w:val="en-US" w:eastAsia="zh-CN"/>
              </w:rPr>
              <w:t>常州利腾机械有限公司1.1MWP光伏项目</w:t>
            </w:r>
            <w:r>
              <w:rPr>
                <w:rFonts w:hint="eastAsia" w:ascii="宋体" w:hAnsi="宋体" w:eastAsia="宋体" w:cs="宋体"/>
                <w:sz w:val="24"/>
                <w:szCs w:val="24"/>
                <w:lang w:val="en-US" w:eastAsia="zh-CN"/>
              </w:rPr>
              <w:t>，在江苏省常州市金坛区工业园内常州利腾机械有限公司厂房屋面布置太阳能电池板。项目总容量为1.1MW，采用型号为280W、315W两种太阳能组件，就近接入相应逆变器，送至配电柜，再接入厂区内变压器并网。</w:t>
            </w:r>
          </w:p>
          <w:p>
            <w:pPr>
              <w:keepNext w:val="0"/>
              <w:keepLines w:val="0"/>
              <w:pageBreakBefore w:val="0"/>
              <w:kinsoku/>
              <w:wordWrap/>
              <w:overflowPunct/>
              <w:topLinePunct w:val="0"/>
              <w:bidi w:val="0"/>
              <w:adjustRightInd/>
              <w:spacing w:line="360" w:lineRule="auto"/>
              <w:ind w:right="0" w:rightChars="0" w:firstLine="480" w:firstLineChars="200"/>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本标段建筑施工主要包括：屋面加固（如需）、测量放线、电缆沟挖填（如需）施工等；电气安装工程主要包括：导轨安装、组件安装、屋顶栏杆安装、逆变器安装、桥架安装、电缆敷设等。</w:t>
            </w:r>
          </w:p>
          <w:p>
            <w:pPr>
              <w:keepNext w:val="0"/>
              <w:keepLines w:val="0"/>
              <w:pageBreakBefore w:val="0"/>
              <w:kinsoku/>
              <w:wordWrap/>
              <w:overflowPunct/>
              <w:topLinePunct w:val="0"/>
              <w:bidi w:val="0"/>
              <w:adjustRightInd/>
              <w:spacing w:line="240" w:lineRule="atLeast"/>
              <w:ind w:right="0" w:rightChars="0"/>
              <w:outlineLvl w:val="9"/>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1" w:type="dxa"/>
            <w:gridSpan w:val="4"/>
          </w:tcPr>
          <w:p>
            <w:pPr>
              <w:numPr>
                <w:ilvl w:val="0"/>
                <w:numId w:val="1"/>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业主单位情况</w:t>
            </w:r>
          </w:p>
          <w:p>
            <w:pPr>
              <w:numPr>
                <w:ilvl w:val="0"/>
                <w:numId w:val="0"/>
              </w:numPr>
              <w:ind w:firstLine="480" w:firstLineChars="200"/>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1、业主公司情况介绍:浙江交投新能源投资有限公司，系浙江省交通投资集团实业发展有限公司全资子公司，主要从事清洁能源(天然气、光伏、充电桩、综合能源供应等)业务投资、建设及运营服务。</w:t>
            </w:r>
          </w:p>
          <w:p>
            <w:pPr>
              <w:numPr>
                <w:ilvl w:val="0"/>
                <w:numId w:val="0"/>
              </w:numPr>
              <w:ind w:firstLine="480" w:firstLineChars="200"/>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2、对项目实施和监理工作有哪些特殊要求：建设方对监理项目部实施要求按规章制度工作，从严把控，对现场安全文明生产及施工工艺严格要求；对监理工作有所肯定，没有其他特殊要求；</w:t>
            </w:r>
          </w:p>
          <w:p>
            <w:pPr>
              <w:numPr>
                <w:ilvl w:val="0"/>
                <w:numId w:val="0"/>
              </w:numPr>
              <w:ind w:firstLine="480" w:firstLineChars="200"/>
              <w:rPr>
                <w:rFonts w:hint="eastAsia" w:ascii="宋体" w:hAnsi="宋体" w:eastAsia="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8791" w:type="dxa"/>
            <w:gridSpan w:val="4"/>
          </w:tcPr>
          <w:p>
            <w:pPr>
              <w:numPr>
                <w:ilvl w:val="0"/>
                <w:numId w:val="1"/>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设计单位情况</w:t>
            </w:r>
          </w:p>
          <w:p>
            <w:pPr>
              <w:widowControl w:val="0"/>
              <w:numPr>
                <w:ilvl w:val="0"/>
                <w:numId w:val="0"/>
              </w:numPr>
              <w:ind w:firstLine="480" w:firstLineChars="200"/>
              <w:jc w:val="both"/>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本工程设计单位为成都常景电力工程有限公司，2017年01月06日成立，经营范围包括电力工程设计与施工；输变电工程设计与施工，机电安装工程设计与施工，电力设备的技术咨询、技术服务、技术转让，电力设备租赁，销售电力设备，货物及技术进出口。（依法须经批准的项目，经相关部门批准后方可开展经营活动）。</w:t>
            </w:r>
            <w:r>
              <w:rPr>
                <w:rFonts w:ascii="Segoe UI" w:hAnsi="Segoe UI" w:eastAsia="Segoe UI" w:cs="Segoe UI"/>
                <w:i w:val="0"/>
                <w:caps w:val="0"/>
                <w:color w:val="FFFFFF"/>
                <w:spacing w:val="0"/>
                <w:sz w:val="21"/>
                <w:szCs w:val="21"/>
                <w:shd w:val="clear" w:fill="FFFFFF"/>
              </w:rPr>
              <w:t>及建筑抗震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1" w:type="dxa"/>
            <w:gridSpan w:val="4"/>
          </w:tcPr>
          <w:p>
            <w:pPr>
              <w:numPr>
                <w:ilvl w:val="0"/>
                <w:numId w:val="2"/>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材料、设备进场情况</w:t>
            </w:r>
          </w:p>
          <w:p>
            <w:pPr>
              <w:numPr>
                <w:ilvl w:val="0"/>
                <w:numId w:val="0"/>
              </w:numPr>
              <w:spacing w:beforeLines="0" w:afterLines="0"/>
              <w:ind w:right="-20" w:rightChars="0"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8月16日、8月17日夹具、导轨、防水槽、检修步道材料进场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1" w:type="dxa"/>
            <w:gridSpan w:val="4"/>
          </w:tcPr>
          <w:p>
            <w:pPr>
              <w:numPr>
                <w:ilvl w:val="0"/>
                <w:numId w:val="3"/>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施工情况 </w:t>
            </w:r>
          </w:p>
          <w:p>
            <w:pPr>
              <w:numPr>
                <w:ilvl w:val="0"/>
                <w:numId w:val="4"/>
              </w:numPr>
              <w:ind w:left="360" w:leftChars="0" w:firstLine="0" w:firstLineChars="0"/>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本项目8月18日施工人员进场施工。</w:t>
            </w:r>
          </w:p>
          <w:p>
            <w:pPr>
              <w:numPr>
                <w:ilvl w:val="0"/>
                <w:numId w:val="4"/>
              </w:numPr>
              <w:ind w:left="360" w:leftChars="0" w:firstLine="0" w:firstLineChars="0"/>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现完成1-8区域夹具和铝导轨安装，9区域因缺少夹具，未完成。</w:t>
            </w:r>
          </w:p>
          <w:p>
            <w:pPr>
              <w:numPr>
                <w:ilvl w:val="0"/>
                <w:numId w:val="4"/>
              </w:numPr>
              <w:ind w:left="360" w:leftChars="0" w:firstLine="0" w:firstLineChars="0"/>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8区域防水槽开始安装，完成该区域的30%。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9" w:hRule="atLeast"/>
        </w:trPr>
        <w:tc>
          <w:tcPr>
            <w:tcW w:w="8791" w:type="dxa"/>
            <w:gridSpan w:val="4"/>
          </w:tcPr>
          <w:p>
            <w:pPr>
              <w:numPr>
                <w:ilvl w:val="0"/>
                <w:numId w:val="5"/>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监理工作情况</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项目开工后询问总包施工人员和材料何时进场</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光伏安装施工人员进场，对施工人员进行安全交底。</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现场施工安全文明施工检查，提出问题要求施工队及时整改。</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现业主同意更改开工日期，要求总包单位尽快完善前期资料报审资料。</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参加设计单位对现场施工人员技术交底会议。</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厂房原有楼梯不安全，要求施工人员临时搭建楼梯，做好警示措施。</w:t>
            </w:r>
          </w:p>
          <w:p>
            <w:pPr>
              <w:keepNext w:val="0"/>
              <w:keepLines w:val="0"/>
              <w:pageBreakBefore w:val="0"/>
              <w:widowControl w:val="0"/>
              <w:numPr>
                <w:ilvl w:val="0"/>
                <w:numId w:val="6"/>
              </w:numPr>
              <w:kinsoku/>
              <w:wordWrap/>
              <w:overflowPunct/>
              <w:topLinePunct w:val="0"/>
              <w:autoSpaceDE/>
              <w:autoSpaceDN/>
              <w:bidi w:val="0"/>
              <w:adjustRightInd/>
              <w:snapToGrid/>
              <w:spacing w:beforeLines="0" w:afterLines="0" w:line="420" w:lineRule="exact"/>
              <w:ind w:right="-23" w:firstLine="480" w:firstLineChars="200"/>
              <w:jc w:val="left"/>
              <w:textAlignment w:val="auto"/>
              <w:outlineLvl w:val="9"/>
              <w:rPr>
                <w:rFonts w:hint="default" w:ascii="宋体" w:hAnsi="宋体" w:eastAsia="宋体" w:cs="宋体"/>
                <w:position w:val="-2"/>
                <w:sz w:val="24"/>
                <w:szCs w:val="24"/>
                <w:lang w:val="en-US" w:eastAsia="zh-CN"/>
              </w:rPr>
            </w:pPr>
            <w:r>
              <w:rPr>
                <w:rFonts w:hint="eastAsia" w:ascii="宋体" w:hAnsi="宋体" w:eastAsia="宋体" w:cs="宋体"/>
                <w:position w:val="-2"/>
                <w:sz w:val="24"/>
                <w:szCs w:val="24"/>
                <w:lang w:val="en-US" w:eastAsia="zh-CN"/>
              </w:rPr>
              <w:t>对进场支架材料进行检查，是否与图纸相符货生锈变形。</w:t>
            </w:r>
          </w:p>
          <w:p>
            <w:pPr>
              <w:spacing w:beforeLines="0" w:afterLines="0" w:line="240" w:lineRule="auto"/>
              <w:ind w:right="-20" w:firstLine="480"/>
              <w:jc w:val="left"/>
              <w:rPr>
                <w:rFonts w:hint="default" w:ascii="宋体" w:hAnsi="宋体" w:eastAsia="宋体" w:cs="宋体"/>
                <w:position w:val="-2"/>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791" w:type="dxa"/>
            <w:gridSpan w:val="4"/>
          </w:tcPr>
          <w:p>
            <w:pPr>
              <w:numPr>
                <w:ilvl w:val="0"/>
                <w:numId w:val="7"/>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其他</w:t>
            </w:r>
          </w:p>
          <w:p>
            <w:pPr>
              <w:numPr>
                <w:ilvl w:val="0"/>
                <w:numId w:val="0"/>
              </w:numPr>
              <w:rPr>
                <w:rFonts w:hint="eastAsia" w:ascii="宋体" w:hAnsi="宋体" w:eastAsia="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1" w:type="dxa"/>
            <w:gridSpan w:val="4"/>
          </w:tcPr>
          <w:p>
            <w:pPr>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bl>
    <w:p>
      <w:pPr>
        <w:keepNext w:val="0"/>
        <w:keepLines w:val="0"/>
        <w:pageBreakBefore w:val="0"/>
        <w:widowControl w:val="0"/>
        <w:kinsoku/>
        <w:wordWrap/>
        <w:overflowPunct/>
        <w:topLinePunct w:val="0"/>
        <w:autoSpaceDE/>
        <w:autoSpaceDN/>
        <w:bidi w:val="0"/>
        <w:adjustRightInd/>
        <w:snapToGrid/>
        <w:spacing w:line="240" w:lineRule="atLeast"/>
        <w:ind w:left="0" w:leftChars="0" w:right="0" w:rightChars="0" w:firstLine="1600" w:firstLineChars="800"/>
        <w:jc w:val="right"/>
        <w:textAlignment w:val="auto"/>
        <w:outlineLvl w:val="9"/>
        <w:rPr>
          <w:rFonts w:hint="eastAsia" w:ascii="宋体" w:hAnsi="宋体" w:eastAsia="宋体" w:cs="宋体"/>
          <w:snapToGrid w:val="0"/>
          <w:color w:val="auto"/>
          <w:spacing w:val="-20"/>
          <w:w w:val="100"/>
          <w:kern w:val="0"/>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240" w:lineRule="atLeast"/>
        <w:ind w:left="0" w:leftChars="0" w:right="0" w:rightChars="0" w:firstLine="1600" w:firstLineChars="800"/>
        <w:jc w:val="right"/>
        <w:textAlignment w:val="auto"/>
        <w:outlineLvl w:val="9"/>
        <w:rPr>
          <w:rFonts w:hint="eastAsia" w:ascii="宋体" w:hAnsi="宋体" w:eastAsia="宋体" w:cs="宋体"/>
          <w:color w:val="auto"/>
          <w:spacing w:val="-20"/>
          <w:w w:val="100"/>
          <w:sz w:val="24"/>
          <w:szCs w:val="24"/>
          <w:lang w:val="en-US" w:eastAsia="zh-CN"/>
        </w:rPr>
      </w:pPr>
      <w:r>
        <w:rPr>
          <w:rFonts w:hint="eastAsia" w:ascii="宋体" w:hAnsi="宋体" w:eastAsia="宋体" w:cs="宋体"/>
          <w:snapToGrid w:val="0"/>
          <w:color w:val="auto"/>
          <w:spacing w:val="-20"/>
          <w:w w:val="100"/>
          <w:kern w:val="0"/>
          <w:sz w:val="24"/>
          <w:szCs w:val="24"/>
          <w:u w:val="single"/>
          <w:lang w:val="en-US" w:eastAsia="zh-CN"/>
        </w:rPr>
        <w:t xml:space="preserve"> 常州利腾机械有限公司1.1MWP光伏项目 </w:t>
      </w:r>
      <w:r>
        <w:rPr>
          <w:rFonts w:hint="eastAsia" w:ascii="宋体" w:hAnsi="宋体" w:eastAsia="宋体" w:cs="宋体"/>
          <w:snapToGrid w:val="0"/>
          <w:color w:val="auto"/>
          <w:spacing w:val="-20"/>
          <w:w w:val="100"/>
          <w:kern w:val="0"/>
          <w:sz w:val="24"/>
          <w:szCs w:val="24"/>
          <w:lang w:val="en-US" w:eastAsia="zh-CN"/>
        </w:rPr>
        <w:t xml:space="preserve">监理项目部整理 </w:t>
      </w:r>
      <w:r>
        <w:rPr>
          <w:rFonts w:hint="eastAsia" w:ascii="宋体" w:hAnsi="宋体" w:eastAsia="宋体" w:cs="宋体"/>
          <w:color w:val="auto"/>
          <w:spacing w:val="-20"/>
          <w:w w:val="100"/>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240" w:lineRule="atLeast"/>
        <w:ind w:left="0" w:leftChars="0" w:right="0" w:rightChars="0" w:firstLine="1920" w:firstLineChars="800"/>
        <w:jc w:val="center"/>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w:t>
      </w:r>
      <w:r>
        <w:rPr>
          <w:rFonts w:hint="eastAsia" w:ascii="宋体" w:hAnsi="宋体" w:eastAsia="宋体" w:cs="宋体"/>
          <w:sz w:val="24"/>
          <w:szCs w:val="24"/>
          <w:u w:val="single"/>
          <w:lang w:val="en-US" w:eastAsia="zh-CN"/>
        </w:rPr>
        <w:t xml:space="preserve"> 2020年08月31</w:t>
      </w:r>
      <w:bookmarkStart w:id="0" w:name="_GoBack"/>
      <w:bookmarkEnd w:id="0"/>
      <w:r>
        <w:rPr>
          <w:rFonts w:hint="eastAsia" w:ascii="宋体" w:hAnsi="宋体" w:eastAsia="宋体" w:cs="宋体"/>
          <w:sz w:val="24"/>
          <w:szCs w:val="24"/>
          <w:u w:val="single"/>
          <w:lang w:val="en-US" w:eastAsia="zh-CN"/>
        </w:rPr>
        <w:t xml:space="preserve">日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auto"/>
    <w:pitch w:val="default"/>
    <w:sig w:usb0="E10022FF" w:usb1="C000E47F" w:usb2="00000029" w:usb3="00000000" w:csb0="200001DF" w:csb1="2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1924D"/>
    <w:multiLevelType w:val="singleLevel"/>
    <w:tmpl w:val="0C41924D"/>
    <w:lvl w:ilvl="0" w:tentative="0">
      <w:start w:val="1"/>
      <w:numFmt w:val="decimal"/>
      <w:suff w:val="nothing"/>
      <w:lvlText w:val="%1、"/>
      <w:lvlJc w:val="left"/>
      <w:pPr>
        <w:ind w:left="360" w:firstLine="0"/>
      </w:pPr>
    </w:lvl>
  </w:abstractNum>
  <w:abstractNum w:abstractNumId="1">
    <w:nsid w:val="35C69FE3"/>
    <w:multiLevelType w:val="singleLevel"/>
    <w:tmpl w:val="35C69FE3"/>
    <w:lvl w:ilvl="0" w:tentative="0">
      <w:start w:val="1"/>
      <w:numFmt w:val="decimal"/>
      <w:suff w:val="nothing"/>
      <w:lvlText w:val="%1、"/>
      <w:lvlJc w:val="left"/>
    </w:lvl>
  </w:abstractNum>
  <w:abstractNum w:abstractNumId="2">
    <w:nsid w:val="5796D879"/>
    <w:multiLevelType w:val="singleLevel"/>
    <w:tmpl w:val="5796D879"/>
    <w:lvl w:ilvl="0" w:tentative="0">
      <w:start w:val="1"/>
      <w:numFmt w:val="chineseCounting"/>
      <w:suff w:val="nothing"/>
      <w:lvlText w:val="%1、"/>
      <w:lvlJc w:val="left"/>
    </w:lvl>
  </w:abstractNum>
  <w:abstractNum w:abstractNumId="3">
    <w:nsid w:val="5796E4D3"/>
    <w:multiLevelType w:val="singleLevel"/>
    <w:tmpl w:val="5796E4D3"/>
    <w:lvl w:ilvl="0" w:tentative="0">
      <w:start w:val="4"/>
      <w:numFmt w:val="chineseCounting"/>
      <w:suff w:val="nothing"/>
      <w:lvlText w:val="%1、"/>
      <w:lvlJc w:val="left"/>
    </w:lvl>
  </w:abstractNum>
  <w:abstractNum w:abstractNumId="4">
    <w:nsid w:val="5796E5CB"/>
    <w:multiLevelType w:val="singleLevel"/>
    <w:tmpl w:val="5796E5CB"/>
    <w:lvl w:ilvl="0" w:tentative="0">
      <w:start w:val="5"/>
      <w:numFmt w:val="chineseCounting"/>
      <w:suff w:val="nothing"/>
      <w:lvlText w:val="%1、"/>
      <w:lvlJc w:val="left"/>
    </w:lvl>
  </w:abstractNum>
  <w:abstractNum w:abstractNumId="5">
    <w:nsid w:val="5796E708"/>
    <w:multiLevelType w:val="singleLevel"/>
    <w:tmpl w:val="5796E708"/>
    <w:lvl w:ilvl="0" w:tentative="0">
      <w:start w:val="6"/>
      <w:numFmt w:val="chineseCounting"/>
      <w:suff w:val="nothing"/>
      <w:lvlText w:val="%1、"/>
      <w:lvlJc w:val="left"/>
    </w:lvl>
  </w:abstractNum>
  <w:abstractNum w:abstractNumId="6">
    <w:nsid w:val="5796EBCF"/>
    <w:multiLevelType w:val="singleLevel"/>
    <w:tmpl w:val="5796EBCF"/>
    <w:lvl w:ilvl="0" w:tentative="0">
      <w:start w:val="7"/>
      <w:numFmt w:val="chineseCounting"/>
      <w:suff w:val="nothing"/>
      <w:lvlText w:val="%1、"/>
      <w:lvlJc w:val="left"/>
    </w:lvl>
  </w:abstractNum>
  <w:num w:numId="1">
    <w:abstractNumId w:val="2"/>
  </w:num>
  <w:num w:numId="2">
    <w:abstractNumId w:val="3"/>
  </w:num>
  <w:num w:numId="3">
    <w:abstractNumId w:val="4"/>
  </w:num>
  <w:num w:numId="4">
    <w:abstractNumId w:val="0"/>
  </w:num>
  <w:num w:numId="5">
    <w:abstractNumId w:val="5"/>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BE6BE1"/>
    <w:rsid w:val="02CC5682"/>
    <w:rsid w:val="036757B3"/>
    <w:rsid w:val="072072C5"/>
    <w:rsid w:val="07970D83"/>
    <w:rsid w:val="09805399"/>
    <w:rsid w:val="0BC17D30"/>
    <w:rsid w:val="0C423B99"/>
    <w:rsid w:val="0CFB0605"/>
    <w:rsid w:val="0EF408D1"/>
    <w:rsid w:val="10E204E4"/>
    <w:rsid w:val="115C35BF"/>
    <w:rsid w:val="13D15A77"/>
    <w:rsid w:val="16000FFF"/>
    <w:rsid w:val="1A81643B"/>
    <w:rsid w:val="1BAC60D2"/>
    <w:rsid w:val="1C9A4CFF"/>
    <w:rsid w:val="1DDD0735"/>
    <w:rsid w:val="1ED76A37"/>
    <w:rsid w:val="20285C57"/>
    <w:rsid w:val="204977FD"/>
    <w:rsid w:val="216E0FE4"/>
    <w:rsid w:val="2213088A"/>
    <w:rsid w:val="23B036D7"/>
    <w:rsid w:val="244F0883"/>
    <w:rsid w:val="250611BC"/>
    <w:rsid w:val="25FF56A1"/>
    <w:rsid w:val="27891AF9"/>
    <w:rsid w:val="283B55AC"/>
    <w:rsid w:val="295A4AA4"/>
    <w:rsid w:val="2AD9205C"/>
    <w:rsid w:val="2FAA5419"/>
    <w:rsid w:val="302C432E"/>
    <w:rsid w:val="335D6616"/>
    <w:rsid w:val="384E5457"/>
    <w:rsid w:val="39453532"/>
    <w:rsid w:val="39831CDC"/>
    <w:rsid w:val="3EE94747"/>
    <w:rsid w:val="40166815"/>
    <w:rsid w:val="405C40FE"/>
    <w:rsid w:val="40AB3B91"/>
    <w:rsid w:val="419F6CF1"/>
    <w:rsid w:val="41A94DB4"/>
    <w:rsid w:val="43195BB2"/>
    <w:rsid w:val="43F16129"/>
    <w:rsid w:val="46494BA1"/>
    <w:rsid w:val="46541729"/>
    <w:rsid w:val="46CF72F8"/>
    <w:rsid w:val="4A3A1B21"/>
    <w:rsid w:val="4A40435C"/>
    <w:rsid w:val="4CF03AE1"/>
    <w:rsid w:val="50DC02BD"/>
    <w:rsid w:val="51B00D8E"/>
    <w:rsid w:val="546A25AF"/>
    <w:rsid w:val="57096761"/>
    <w:rsid w:val="59E7758C"/>
    <w:rsid w:val="5A4444D2"/>
    <w:rsid w:val="5BFB61C8"/>
    <w:rsid w:val="5F6E3096"/>
    <w:rsid w:val="66BB3182"/>
    <w:rsid w:val="6A4408B8"/>
    <w:rsid w:val="6F760E5C"/>
    <w:rsid w:val="6F901F5F"/>
    <w:rsid w:val="73824E02"/>
    <w:rsid w:val="74545BE5"/>
    <w:rsid w:val="7597699E"/>
    <w:rsid w:val="787E2753"/>
    <w:rsid w:val="79033BB5"/>
    <w:rsid w:val="79177F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napToGrid w:val="0"/>
      <w:kern w:val="0"/>
      <w:sz w:val="24"/>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adjustRightInd w:val="0"/>
      <w:snapToGrid w:val="0"/>
    </w:pPr>
    <w:rPr>
      <w:rFonts w:ascii="宋体" w:hAnsi="宋体"/>
      <w:kern w:val="0"/>
      <w:sz w:val="2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7">
    <w:name w:val="样式 宋体 小四 黑色 左 行距: 1.5 倍行距"/>
    <w:basedOn w:val="1"/>
    <w:qFormat/>
    <w:uiPriority w:val="0"/>
    <w:pPr>
      <w:adjustRightInd w:val="0"/>
      <w:snapToGrid w:val="0"/>
      <w:spacing w:line="360" w:lineRule="auto"/>
      <w:ind w:firstLine="480" w:firstLineChars="200"/>
      <w:jc w:val="left"/>
    </w:pPr>
    <w:rPr>
      <w:rFonts w:ascii="宋体" w:hAnsi="宋体" w:cs="宋体"/>
      <w:color w:val="00000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zh1</dc:creator>
  <cp:lastModifiedBy>問</cp:lastModifiedBy>
  <cp:lastPrinted>2018-08-25T09:44:00Z</cp:lastPrinted>
  <dcterms:modified xsi:type="dcterms:W3CDTF">2020-08-31T13:09:20Z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