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before="1248" w:beforeLines="400" w:after="468" w:afterLines="150" w:line="480" w:lineRule="auto"/>
        <w:jc w:val="center"/>
        <w:rPr>
          <w:rFonts w:ascii="黑体" w:hAnsi="黑体" w:eastAsia="黑体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监  理  月  报</w:t>
      </w:r>
    </w:p>
    <w:p>
      <w:pPr>
        <w:spacing w:before="312" w:beforeLines="100" w:after="468" w:afterLines="150" w:line="480" w:lineRule="auto"/>
        <w:jc w:val="center"/>
        <w:rPr>
          <w:rFonts w:asciiTheme="minorEastAsia" w:hAnsiTheme="minorEastAsia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工程名称：申宜宜城流水镇100MW农光互补光伏电站项目</w:t>
      </w:r>
    </w:p>
    <w:p>
      <w:pPr>
        <w:spacing w:before="156" w:beforeLines="50" w:after="156" w:afterLines="50"/>
        <w:jc w:val="center"/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>20</w:t>
      </w:r>
      <w:r>
        <w:rPr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>05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月</w:t>
      </w:r>
    </w:p>
    <w:p>
      <w:pPr>
        <w:spacing w:before="156" w:beforeLines="50" w:after="156" w:afterLines="50"/>
        <w:jc w:val="center"/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before="2496" w:beforeLines="800"/>
        <w:jc w:val="center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before="2496" w:beforeLines="800"/>
        <w:jc w:val="center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项目监理部（章）：</w:t>
      </w:r>
    </w:p>
    <w:p>
      <w:pPr>
        <w:spacing w:before="468" w:beforeLines="150" w:after="468" w:afterLines="150"/>
        <w:jc w:val="center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总监理工程师：</w:t>
      </w:r>
    </w:p>
    <w:p>
      <w:pPr>
        <w:jc w:val="center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报告日期：20</w:t>
      </w:r>
      <w: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月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31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日</w:t>
      </w:r>
    </w:p>
    <w:p>
      <w:pPr>
        <w:widowControl/>
        <w:jc w:val="center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</w:pPr>
    </w:p>
    <w:p>
      <w:pPr>
        <w:pStyle w:val="2"/>
      </w:pPr>
    </w:p>
    <w:p>
      <w:pPr>
        <w:jc w:val="center"/>
        <w:rPr>
          <w:rFonts w:hint="eastAsia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监  理  月  报</w:t>
      </w:r>
    </w:p>
    <w:p>
      <w:pPr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工程名称：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申宜宜城流水镇100MW农光互补光伏电站项目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after="468" w:afterLines="150" w:line="240" w:lineRule="atLeast"/>
        <w:textAlignment w:val="auto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月报开始时间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</w:t>
      </w:r>
      <w:r>
        <w:rPr>
          <w:rFonts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05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01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 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结束日期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05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31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after="468" w:afterLines="150" w:line="240" w:lineRule="atLeast"/>
        <w:textAlignment w:val="auto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监理单位：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常州正衡电力工程监理有限公司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after="468" w:afterLines="150" w:line="240" w:lineRule="atLeast"/>
        <w:textAlignment w:val="auto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一、工程影像资料</w:t>
      </w:r>
    </w:p>
    <w:tbl>
      <w:tblPr>
        <w:tblStyle w:val="8"/>
        <w:tblW w:w="97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2319"/>
        <w:gridCol w:w="4695"/>
        <w:gridCol w:w="765"/>
        <w:gridCol w:w="713"/>
        <w:gridCol w:w="6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spacing w:line="360" w:lineRule="auto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319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单位工程标准名称</w:t>
            </w:r>
          </w:p>
        </w:tc>
        <w:tc>
          <w:tcPr>
            <w:tcW w:w="4695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施工项目影像</w:t>
            </w:r>
          </w:p>
        </w:tc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资料类型</w:t>
            </w:r>
          </w:p>
        </w:tc>
        <w:tc>
          <w:tcPr>
            <w:tcW w:w="713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资料数量</w:t>
            </w:r>
          </w:p>
        </w:tc>
        <w:tc>
          <w:tcPr>
            <w:tcW w:w="600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4" w:hRule="atLeast"/>
        </w:trPr>
        <w:tc>
          <w:tcPr>
            <w:tcW w:w="675" w:type="dxa"/>
            <w:vAlign w:val="center"/>
          </w:tcPr>
          <w:p>
            <w:pPr>
              <w:spacing w:line="360" w:lineRule="auto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319" w:type="dxa"/>
            <w:vAlign w:val="center"/>
          </w:tcPr>
          <w:p>
            <w:pP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申宜宜城流水镇100MW农光互补光伏电站项目</w:t>
            </w:r>
          </w:p>
        </w:tc>
        <w:tc>
          <w:tcPr>
            <w:tcW w:w="4695" w:type="dxa"/>
          </w:tcPr>
          <w:p>
            <w:pPr>
              <w:spacing w:line="360" w:lineRule="auto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45085</wp:posOffset>
                  </wp:positionV>
                  <wp:extent cx="2294890" cy="2211070"/>
                  <wp:effectExtent l="0" t="0" r="10160" b="17780"/>
                  <wp:wrapNone/>
                  <wp:docPr id="1" name="图片 1" descr="C:\Users\Administrator\Desktop\微信图片_20220530184842.jpg微信图片_20220530184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istrator\Desktop\微信图片_20220530184842.jpg微信图片_202205301848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890" cy="221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jc w:val="both"/>
              <w:rPr>
                <w:rFonts w:hint="eastAsia"/>
                <w:lang w:eastAsia="zh-CN"/>
              </w:rPr>
            </w:pPr>
          </w:p>
          <w:p>
            <w:pPr>
              <w:spacing w:line="360" w:lineRule="auto"/>
              <w:jc w:val="both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7184390</wp:posOffset>
                  </wp:positionV>
                  <wp:extent cx="2826385" cy="1303655"/>
                  <wp:effectExtent l="0" t="0" r="12065" b="10795"/>
                  <wp:wrapNone/>
                  <wp:docPr id="17" name="图片 17" descr="升压站字体及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升压站字体及LOGO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jc w:val="both"/>
              <w:rPr>
                <w:rFonts w:hint="eastAsia"/>
                <w:lang w:eastAsia="zh-CN"/>
              </w:rPr>
            </w:pPr>
          </w:p>
          <w:p>
            <w:pPr>
              <w:spacing w:line="360" w:lineRule="auto"/>
              <w:jc w:val="both"/>
              <w:rPr>
                <w:rFonts w:hint="eastAsia"/>
                <w:lang w:eastAsia="zh-CN"/>
              </w:rPr>
            </w:pPr>
          </w:p>
          <w:p>
            <w:pPr>
              <w:spacing w:line="360" w:lineRule="auto"/>
              <w:jc w:val="both"/>
              <w:rPr>
                <w:rFonts w:hint="eastAsia"/>
                <w:lang w:eastAsia="zh-CN"/>
              </w:rPr>
            </w:pPr>
          </w:p>
          <w:p>
            <w:pPr>
              <w:spacing w:line="360" w:lineRule="auto"/>
              <w:jc w:val="both"/>
              <w:rPr>
                <w:rFonts w:hint="eastAsia"/>
                <w:lang w:eastAsia="zh-CN"/>
              </w:rPr>
            </w:pPr>
          </w:p>
          <w:p>
            <w:pPr>
              <w:spacing w:line="360" w:lineRule="auto"/>
              <w:jc w:val="both"/>
              <w:rPr>
                <w:rFonts w:hint="eastAsia"/>
                <w:lang w:eastAsia="zh-CN"/>
              </w:rPr>
            </w:pPr>
          </w:p>
          <w:p>
            <w:pPr>
              <w:spacing w:line="360" w:lineRule="auto"/>
              <w:jc w:val="both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167005</wp:posOffset>
                  </wp:positionV>
                  <wp:extent cx="1911350" cy="2289810"/>
                  <wp:effectExtent l="0" t="0" r="12700" b="15240"/>
                  <wp:wrapNone/>
                  <wp:docPr id="2" name="图片 2" descr="C:\Users\Administrator\Desktop\微信图片_20220530184906.jpg微信图片_20220530184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\Desktop\微信图片_20220530184906.jpg微信图片_202205301849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jc w:val="both"/>
              <w:rPr>
                <w:rFonts w:hint="eastAsia"/>
                <w:lang w:eastAsia="zh-CN"/>
              </w:rPr>
            </w:pPr>
          </w:p>
          <w:p>
            <w:pPr>
              <w:spacing w:line="360" w:lineRule="auto"/>
              <w:jc w:val="both"/>
              <w:rPr>
                <w:rFonts w:hint="eastAsia"/>
                <w:lang w:eastAsia="zh-CN"/>
              </w:rPr>
            </w:pPr>
          </w:p>
          <w:p>
            <w:pPr>
              <w:pStyle w:val="6"/>
              <w:jc w:val="both"/>
              <w:rPr>
                <w:rFonts w:hint="eastAsia"/>
                <w:lang w:eastAsia="zh-CN"/>
              </w:rPr>
            </w:pPr>
          </w:p>
          <w:p>
            <w:pPr>
              <w:pStyle w:val="6"/>
              <w:jc w:val="both"/>
              <w:rPr>
                <w:rFonts w:hint="eastAsia"/>
                <w:lang w:eastAsia="zh-CN"/>
              </w:rPr>
            </w:pPr>
          </w:p>
          <w:p>
            <w:pPr>
              <w:pStyle w:val="6"/>
              <w:jc w:val="both"/>
              <w:rPr>
                <w:rFonts w:hint="eastAsia"/>
                <w:lang w:eastAsia="zh-CN"/>
              </w:rPr>
            </w:pPr>
          </w:p>
          <w:p>
            <w:pPr>
              <w:pStyle w:val="6"/>
              <w:jc w:val="both"/>
              <w:rPr>
                <w:rFonts w:hint="eastAsia"/>
                <w:lang w:eastAsia="zh-CN"/>
              </w:rPr>
            </w:pPr>
          </w:p>
          <w:p>
            <w:pPr>
              <w:pStyle w:val="6"/>
              <w:jc w:val="both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44450</wp:posOffset>
                  </wp:positionV>
                  <wp:extent cx="2493010" cy="2040890"/>
                  <wp:effectExtent l="0" t="0" r="2540" b="16510"/>
                  <wp:wrapNone/>
                  <wp:docPr id="3" name="图片 3" descr="C:\Users\Administrator\Desktop\微信图片_20220530184932.jpg微信图片_20220530184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Desktop\微信图片_20220530184932.jpg微信图片_202205301849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010" cy="204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6"/>
              <w:jc w:val="both"/>
              <w:rPr>
                <w:rFonts w:hint="eastAsia"/>
                <w:lang w:eastAsia="zh-CN"/>
              </w:rPr>
            </w:pPr>
          </w:p>
          <w:p>
            <w:pPr>
              <w:pStyle w:val="6"/>
              <w:jc w:val="both"/>
              <w:rPr>
                <w:rFonts w:hint="eastAsia"/>
                <w:lang w:eastAsia="zh-CN"/>
              </w:rPr>
            </w:pPr>
          </w:p>
          <w:p>
            <w:pPr>
              <w:pStyle w:val="6"/>
              <w:jc w:val="both"/>
              <w:rPr>
                <w:rFonts w:hint="eastAsia"/>
                <w:lang w:eastAsia="zh-CN"/>
              </w:rPr>
            </w:pPr>
          </w:p>
          <w:p>
            <w:pPr>
              <w:pStyle w:val="6"/>
              <w:jc w:val="both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181610</wp:posOffset>
                  </wp:positionV>
                  <wp:extent cx="2424430" cy="1303655"/>
                  <wp:effectExtent l="0" t="0" r="13970" b="10795"/>
                  <wp:wrapNone/>
                  <wp:docPr id="4" name="图片 4" descr="C:\Users\Administrator\Desktop\微信图片_20220530184953.jpg微信图片_20220530184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strator\Desktop\微信图片_20220530184953.jpg微信图片_202205301849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430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6"/>
              <w:jc w:val="both"/>
              <w:rPr>
                <w:rFonts w:hint="eastAsia"/>
                <w:lang w:eastAsia="zh-CN"/>
              </w:rPr>
            </w:pPr>
          </w:p>
          <w:p>
            <w:pPr>
              <w:pStyle w:val="6"/>
              <w:jc w:val="both"/>
              <w:rPr>
                <w:rFonts w:hint="eastAsia"/>
                <w:lang w:eastAsia="zh-CN"/>
              </w:rPr>
            </w:pPr>
          </w:p>
          <w:p>
            <w:pPr>
              <w:pStyle w:val="6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149860</wp:posOffset>
                  </wp:positionV>
                  <wp:extent cx="2582545" cy="1398905"/>
                  <wp:effectExtent l="0" t="0" r="8255" b="10795"/>
                  <wp:wrapNone/>
                  <wp:docPr id="5" name="图片 5" descr="C:\Users\Administrator\Desktop\微信图片_20220530185017.jpg微信图片_20220530185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strator\Desktop\微信图片_20220530185017.jpg微信图片_202205301850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545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 xml:space="preserve">   </w:t>
            </w:r>
          </w:p>
          <w:p>
            <w:pPr>
              <w:pStyle w:val="6"/>
              <w:jc w:val="both"/>
              <w:rPr>
                <w:rFonts w:hint="eastAsia"/>
                <w:lang w:eastAsia="zh-CN"/>
              </w:rPr>
            </w:pPr>
          </w:p>
          <w:p>
            <w:pPr>
              <w:pStyle w:val="6"/>
              <w:jc w:val="both"/>
              <w:rPr>
                <w:rFonts w:hint="eastAsia"/>
                <w:lang w:eastAsia="zh-CN"/>
              </w:rPr>
            </w:pPr>
          </w:p>
          <w:p>
            <w:pPr>
              <w:pStyle w:val="6"/>
              <w:jc w:val="both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168275</wp:posOffset>
                  </wp:positionV>
                  <wp:extent cx="2451100" cy="1406525"/>
                  <wp:effectExtent l="0" t="0" r="6350" b="3175"/>
                  <wp:wrapNone/>
                  <wp:docPr id="6" name="图片 6" descr="C:\Users\Administrator\Desktop\微信图片_20220530184828.jpg微信图片_20220530184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istrator\Desktop\微信图片_20220530184828.jpg微信图片_202205301848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6"/>
              <w:jc w:val="both"/>
              <w:rPr>
                <w:rFonts w:hint="eastAsia"/>
                <w:lang w:eastAsia="zh-CN"/>
              </w:rPr>
            </w:pPr>
          </w:p>
          <w:p>
            <w:pPr>
              <w:pStyle w:val="6"/>
              <w:jc w:val="both"/>
              <w:rPr>
                <w:rFonts w:hint="eastAsia"/>
                <w:lang w:eastAsia="zh-CN"/>
              </w:rPr>
            </w:pPr>
          </w:p>
          <w:p>
            <w:pPr>
              <w:pStyle w:val="6"/>
              <w:jc w:val="both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196215</wp:posOffset>
                  </wp:positionV>
                  <wp:extent cx="1197610" cy="1283335"/>
                  <wp:effectExtent l="0" t="0" r="2540" b="12065"/>
                  <wp:wrapNone/>
                  <wp:docPr id="7" name="图片 7" descr="C:\Users\Administrator\Desktop\微信图片_20220530184849.jpg微信图片_20220530184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strator\Desktop\微信图片_20220530184849.jpg微信图片_202205301848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10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6"/>
              <w:jc w:val="both"/>
              <w:rPr>
                <w:rFonts w:hint="eastAsia"/>
                <w:lang w:eastAsia="zh-CN"/>
              </w:rPr>
            </w:pPr>
          </w:p>
          <w:p>
            <w:pPr>
              <w:pStyle w:val="6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</w:t>
            </w:r>
          </w:p>
          <w:p>
            <w:pPr>
              <w:pStyle w:val="6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90170</wp:posOffset>
                  </wp:positionV>
                  <wp:extent cx="2038985" cy="1312545"/>
                  <wp:effectExtent l="0" t="0" r="18415" b="1905"/>
                  <wp:wrapNone/>
                  <wp:docPr id="8" name="图片 8" descr="C:\Users\Administrator\Desktop\微信图片_20220530184913.jpg微信图片_20220530184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dministrator\Desktop\微信图片_20220530184913.jpg微信图片_202205301849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85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6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pStyle w:val="6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pStyle w:val="6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23495</wp:posOffset>
                  </wp:positionV>
                  <wp:extent cx="1997710" cy="1515745"/>
                  <wp:effectExtent l="0" t="0" r="2540" b="8255"/>
                  <wp:wrapNone/>
                  <wp:docPr id="9" name="图片 9" descr="C:\Users\Administrator\Desktop\微信图片_20220530184939.jpg微信图片_20220530184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istrator\Desktop\微信图片_20220530184939.jpg微信图片_202205301849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1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30480</wp:posOffset>
                  </wp:positionV>
                  <wp:extent cx="1953895" cy="1373505"/>
                  <wp:effectExtent l="0" t="0" r="8255" b="17145"/>
                  <wp:wrapNone/>
                  <wp:docPr id="10" name="图片 10" descr="C:\Users\Administrator\Desktop\微信图片_20220530184857.jpg微信图片_20220530184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istrator\Desktop\微信图片_20220530184857.jpg微信图片_2022053018485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5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1706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157480</wp:posOffset>
                  </wp:positionV>
                  <wp:extent cx="2256790" cy="1595755"/>
                  <wp:effectExtent l="0" t="0" r="10160" b="4445"/>
                  <wp:wrapNone/>
                  <wp:docPr id="11" name="图片 11" descr="C:\Users\Administrator\Desktop\微信图片_20220530185023.jpg微信图片_20220530185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Administrator\Desktop\微信图片_20220530185023.jpg微信图片_2022053018502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790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110490</wp:posOffset>
                  </wp:positionV>
                  <wp:extent cx="2380615" cy="1765300"/>
                  <wp:effectExtent l="0" t="0" r="635" b="6350"/>
                  <wp:wrapNone/>
                  <wp:docPr id="12" name="图片 12" descr="C:\Users\Administrator\Desktop\微信图片_20220530184833.jpg微信图片_20220530184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Administrator\Desktop\微信图片_20220530184833.jpg微信图片_202205301848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15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231390" cy="1268095"/>
                  <wp:effectExtent l="0" t="0" r="16510" b="8255"/>
                  <wp:docPr id="13" name="图片 13" descr="微信图片_20220530185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205301850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390" cy="12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照片</w:t>
            </w:r>
          </w:p>
        </w:tc>
        <w:tc>
          <w:tcPr>
            <w:tcW w:w="713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600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400" w:lineRule="exact"/>
        <w:jc w:val="left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400" w:lineRule="exact"/>
        <w:jc w:val="left"/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400" w:lineRule="exact"/>
        <w:jc w:val="left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监理重点工作情况</w:t>
      </w:r>
    </w:p>
    <w:tbl>
      <w:tblPr>
        <w:tblStyle w:val="8"/>
        <w:tblW w:w="97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2061"/>
        <w:gridCol w:w="3989"/>
        <w:gridCol w:w="2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事项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本月重点工作情况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下月重点工作计划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进度</w:t>
            </w: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 w:firstLine="0" w:firstLineChars="0"/>
              <w:jc w:val="left"/>
              <w:textAlignment w:val="baseline"/>
              <w:rPr>
                <w:rFonts w:hint="default" w:ascii="宋体" w:hAnsi="宋体" w:cs="宋体" w:eastAsiaTheme="minorEastAsia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升压站：完工已投运，等工人进场消缺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光伏区：组件安装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50.7</w:t>
            </w:r>
            <w:r>
              <w:rPr>
                <w:rFonts w:hint="eastAsia" w:ascii="宋体" w:hAnsi="宋体" w:cs="宋体" w:eastAsiaTheme="minorEastAsia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MW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（其中A06、A07、A09、A02、A03、A05、A14已投运）</w:t>
            </w:r>
            <w:r>
              <w:rPr>
                <w:rFonts w:hint="eastAsia" w:ascii="宋体" w:hAnsi="宋体" w:cs="宋体" w:eastAsiaTheme="minorEastAsia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，支架安装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69.26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  <w:highlight w:val="none"/>
                <w:lang w:val="en-US" w:eastAsia="zh-CN"/>
              </w:rPr>
              <w:t>MW；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汇流箱安装126台；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光伏区集电线路：A14至升压站电缆敷设回填、A02、A05、A03至升压站电缆沟敷设高压电缆并回填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400" w:lineRule="exact"/>
              <w:ind w:left="0" w:leftChars="0" w:right="0" w:rightChars="0" w:firstLine="0" w:firstLineChars="0"/>
              <w:jc w:val="left"/>
              <w:textAlignment w:val="baseline"/>
              <w:rPr>
                <w:rFonts w:hint="eastAsia" w:eastAsiaTheme="minorEastAsia"/>
                <w:color w:val="FF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送出线路：</w:t>
            </w: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设备基础浇筑完成，设备支架安装完成，安装、调试完成已带电投运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  <w:lang w:val="en-US" w:eastAsia="zh-CN"/>
              </w:rPr>
              <w:t>监理本月对以下施工项进行了检查、旁站工作：1）本月监理人召开监理例会共4次；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）开出监理通知单共计37份、联系单7份；3）检查光伏区支架安装及组件安装、电缆沟开挖及引孔、打桩、过河道顶管；A04、B02、B03、B04、A12组价串线及4²电缆头接头和开路电压试验；A04、B02、B03、B04、A12高压电缆头制作；旁站B01、B05、06、A01、B12箱逆变交接试验及高压电缆耐压试验；A04、B02、B03、B04、A12电缆沟开挖、电缆敷设及回填；4）平行检验记录已到134份；5）熟悉电气施工图纸，对监理资料进行编辑并上传监理云平台等。6）、</w:t>
            </w:r>
            <w:r>
              <w:rPr>
                <w:rFonts w:hint="eastAsia"/>
                <w:b w:val="0"/>
                <w:bCs/>
                <w:spacing w:val="-3"/>
                <w:sz w:val="24"/>
                <w:lang w:val="en-US" w:eastAsia="zh-CN"/>
              </w:rPr>
              <w:t>线路间隔：全部完成设备已带电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。7）、监理检查记录38份。8）、箱逆变基础浇筑完毕26个。9）对于现场检查出现的问题已通知单形式告知施工单位，并要求整改后回复闭环。10）设备材料开箱61。 11）、组件进场96.4MW，倒运组件注意成品保护，现场安装人员按图施工控制好组件间距及整体平整。12）、项目现场疫情防控工作。13）会议纪要已到62。14）、监理旁站已到48.15）、箱逆变进场6台（累计到场26台）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default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支架及组件安装，打桩，高低压电缆沟开挖及电缆敷设、盖砖后回填，剩余2个箱变基础浇筑，围栏施工等。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主要重点：6月05日完成接线并新增15MW并网（项目累计60MW）。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6月份安全生产月，现场做好安全宣贯工作，并做好现场安全检查。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7" w:hRule="atLeast"/>
        </w:trPr>
        <w:tc>
          <w:tcPr>
            <w:tcW w:w="88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FF0000"/>
                <w:sz w:val="24"/>
                <w:szCs w:val="24"/>
              </w:rPr>
            </w:pP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材料/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设备交付进度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rPr>
                <w:rFonts w:hint="default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Cs/>
                <w:color w:val="000000"/>
                <w:sz w:val="24"/>
                <w:szCs w:val="24"/>
                <w:lang w:val="en-US" w:eastAsia="zh-CN"/>
              </w:rPr>
              <w:t>支架进场100MW、组件到场96.4MW；汇流箱新进场224台（已全部到场448台），箱逆变进场6台（累计26台），各类电缆全部到场。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箱逆变全部到场进场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default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FF0000"/>
                <w:sz w:val="24"/>
                <w:szCs w:val="24"/>
              </w:rPr>
            </w:pP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设计交付进度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图纸</w:t>
            </w: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全部</w:t>
            </w: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完成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default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对现场变更部分要求出变更单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FF0000"/>
                <w:sz w:val="24"/>
                <w:szCs w:val="24"/>
              </w:rPr>
            </w:pP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质量体系运作情况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质量体系健全，运行良好落实质量保证体系，并对运行情况进行检查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加强检查，发现问题即时督促整改</w:t>
            </w: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及下通知单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FF0000"/>
                <w:sz w:val="24"/>
                <w:szCs w:val="24"/>
              </w:rPr>
            </w:pP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施工图会审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完成图纸会审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FF0000"/>
                <w:sz w:val="24"/>
                <w:szCs w:val="24"/>
              </w:rPr>
            </w:pP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设计交底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交底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对光伏区变更及时通知并出图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FF0000"/>
                <w:sz w:val="24"/>
                <w:szCs w:val="24"/>
              </w:rPr>
            </w:pP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方案审查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default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已基本报审完成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督促施工单位</w:t>
            </w: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过程资料与进度同步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FF0000"/>
                <w:sz w:val="24"/>
                <w:szCs w:val="24"/>
              </w:rPr>
            </w:pP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技术交底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default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已进行技术交底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对新进场人员进行安全技术交底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FF0000"/>
                <w:sz w:val="24"/>
                <w:szCs w:val="24"/>
              </w:rPr>
            </w:pP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设计变更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光伏区，集电线路已变更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提交变更后图纸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安全</w:t>
            </w: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安全培训情况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施工人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员进行安全培训</w:t>
            </w: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及安全检查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安全检查、疫情防控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安全交底情况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复工前对升压站进行安全检查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对新进人员安全交底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安全措施落实情况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督促安装人员佩戴号安全帽，高空作业人员佩戴安全带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认真做好巡视检查，发现问题及时整改。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安全文明施工情况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巡视检查施工人员安全防护穿戴情况，安全帽、</w:t>
            </w: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安全带、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劳保鞋。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高温期间做好防暑降温措施，合理调整工作时。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严格审批动火作业票，严禁现场抽烟。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加强现场安全管理力度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88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主要工序质量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default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光伏区支架、组件安装质量合格率约</w:t>
            </w: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78%，电气施工合格率在85%左右。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default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对各施工项进行检查、验收，对于不合格部分责令整改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主要原材料质量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对支架、组件、电缆抽检，符合设计要求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default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FF0000"/>
                <w:sz w:val="24"/>
                <w:szCs w:val="24"/>
              </w:rPr>
            </w:pP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设备质量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完好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default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对箱逆变一体机检查，且符合设计及规范要求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FF0000"/>
                <w:sz w:val="24"/>
                <w:szCs w:val="24"/>
              </w:rPr>
            </w:pP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质量验评情况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工序施工符合要求，加强过程检查力度，加大工序报验抽查力度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加强过程检查力度，加大工序报验抽查力度</w:t>
            </w: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，对不合格问题责令整改闭环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投资</w:t>
            </w: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资金情况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能够按时支付工程款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款项支付情况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对总包单位工程进度预付款申请进行审核并签字盖章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预算外签证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暂无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合同</w:t>
            </w: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合同签订情况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工程建设监理合同、EPC总承包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合同</w:t>
            </w: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已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签订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合同执行情况</w:t>
            </w:r>
          </w:p>
        </w:tc>
        <w:tc>
          <w:tcPr>
            <w:tcW w:w="398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按合同执行</w:t>
            </w:r>
          </w:p>
        </w:tc>
        <w:tc>
          <w:tcPr>
            <w:tcW w:w="28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按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合同</w:t>
            </w: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约定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执行</w:t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400" w:lineRule="exact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本月进度情况</w:t>
      </w:r>
    </w:p>
    <w:tbl>
      <w:tblPr>
        <w:tblStyle w:val="8"/>
        <w:tblW w:w="103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2"/>
        <w:gridCol w:w="1092"/>
        <w:gridCol w:w="1044"/>
        <w:gridCol w:w="1020"/>
        <w:gridCol w:w="49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262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/>
                <w:bCs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aps w:val="0"/>
                <w:spacing w:val="0"/>
                <w:w w:val="100"/>
                <w:kern w:val="2"/>
                <w:sz w:val="21"/>
                <w:szCs w:val="21"/>
              </w:rPr>
              <w:t>主要工序</w:t>
            </w:r>
          </w:p>
        </w:tc>
        <w:tc>
          <w:tcPr>
            <w:tcW w:w="1092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/>
                <w:bCs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aps w:val="0"/>
                <w:spacing w:val="0"/>
                <w:w w:val="100"/>
                <w:kern w:val="2"/>
                <w:sz w:val="21"/>
                <w:szCs w:val="21"/>
              </w:rPr>
              <w:t>总工程量</w:t>
            </w:r>
          </w:p>
        </w:tc>
        <w:tc>
          <w:tcPr>
            <w:tcW w:w="1044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/>
                <w:bCs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aps w:val="0"/>
                <w:spacing w:val="0"/>
                <w:w w:val="100"/>
                <w:kern w:val="2"/>
                <w:sz w:val="21"/>
                <w:szCs w:val="21"/>
              </w:rPr>
              <w:t>完成量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/>
                <w:bCs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aps w:val="0"/>
                <w:spacing w:val="0"/>
                <w:w w:val="100"/>
                <w:kern w:val="2"/>
                <w:sz w:val="21"/>
                <w:szCs w:val="21"/>
              </w:rPr>
              <w:t>完成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/>
              </w:rPr>
              <w:t>率</w:t>
            </w:r>
          </w:p>
        </w:tc>
        <w:tc>
          <w:tcPr>
            <w:tcW w:w="4904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/>
                <w:bCs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/>
              </w:rPr>
              <w:t>明细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262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/>
              </w:rPr>
              <w:t>打桩</w:t>
            </w:r>
          </w:p>
        </w:tc>
        <w:tc>
          <w:tcPr>
            <w:tcW w:w="1092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highlight w:val="none"/>
                <w:lang w:val="en-US" w:eastAsia="zh-CN"/>
              </w:rPr>
              <w:t>24452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highlight w:val="none"/>
              </w:rPr>
              <w:t>根</w:t>
            </w:r>
          </w:p>
        </w:tc>
        <w:tc>
          <w:tcPr>
            <w:tcW w:w="1044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highlight w:val="none"/>
                <w:lang w:val="en-US" w:eastAsia="zh-CN"/>
              </w:rPr>
              <w:t>22569根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highlight w:val="none"/>
                <w:lang w:val="en-US" w:eastAsia="zh-CN"/>
              </w:rPr>
              <w:t>92.3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highlight w:val="none"/>
              </w:rPr>
              <w:t>%</w:t>
            </w:r>
          </w:p>
        </w:tc>
        <w:tc>
          <w:tcPr>
            <w:tcW w:w="4904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62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/>
              </w:rPr>
              <w:t>拔桩</w:t>
            </w:r>
          </w:p>
        </w:tc>
        <w:tc>
          <w:tcPr>
            <w:tcW w:w="1092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44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/>
              </w:rPr>
              <w:t>1634根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4904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262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</w:rPr>
              <w:t>支架安装</w:t>
            </w:r>
          </w:p>
        </w:tc>
        <w:tc>
          <w:tcPr>
            <w:tcW w:w="1092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  <w:t>100MW</w:t>
            </w:r>
          </w:p>
        </w:tc>
        <w:tc>
          <w:tcPr>
            <w:tcW w:w="1044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  <w:t>3888组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  <w:t>75.58%</w:t>
            </w:r>
          </w:p>
        </w:tc>
        <w:tc>
          <w:tcPr>
            <w:tcW w:w="4904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262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</w:rPr>
              <w:t>组件安装</w:t>
            </w:r>
          </w:p>
        </w:tc>
        <w:tc>
          <w:tcPr>
            <w:tcW w:w="1092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  <w:t>100MW</w:t>
            </w:r>
          </w:p>
        </w:tc>
        <w:tc>
          <w:tcPr>
            <w:tcW w:w="1044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  <w:t>3763组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  <w:t>73.01%</w:t>
            </w:r>
          </w:p>
        </w:tc>
        <w:tc>
          <w:tcPr>
            <w:tcW w:w="4904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 w:bidi="ar-SA"/>
              </w:rPr>
              <w:t>已到货96.401MW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262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  <w:t>汇流箱</w:t>
            </w:r>
          </w:p>
        </w:tc>
        <w:tc>
          <w:tcPr>
            <w:tcW w:w="1092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  <w:t>448套</w:t>
            </w:r>
          </w:p>
        </w:tc>
        <w:tc>
          <w:tcPr>
            <w:tcW w:w="1044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  <w:t>215套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  <w:t>47.99%</w:t>
            </w:r>
          </w:p>
        </w:tc>
        <w:tc>
          <w:tcPr>
            <w:tcW w:w="4904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262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  <w:t>箱逆变</w:t>
            </w:r>
          </w:p>
        </w:tc>
        <w:tc>
          <w:tcPr>
            <w:tcW w:w="1092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/>
              </w:rPr>
              <w:t>28台</w:t>
            </w:r>
          </w:p>
        </w:tc>
        <w:tc>
          <w:tcPr>
            <w:tcW w:w="1044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/>
              </w:rPr>
              <w:t>26台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  <w:t>土建92.86%</w:t>
            </w:r>
          </w:p>
        </w:tc>
        <w:tc>
          <w:tcPr>
            <w:tcW w:w="4904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仿宋" w:hAnsi="仿宋" w:eastAsia="仿宋" w:cs="仿宋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highlight w:val="none"/>
                <w:lang w:val="en-US" w:eastAsia="zh-CN"/>
              </w:rPr>
              <w:t>完成26台箱逆变基础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/>
              </w:rPr>
              <w:t>（A01-A14、B02、B03、B08、B09、B11、B13、B14、B01、B04、B05、B06）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262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  <w:t>汇流箱电缆敷设</w:t>
            </w:r>
          </w:p>
        </w:tc>
        <w:tc>
          <w:tcPr>
            <w:tcW w:w="1092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  <w:t>448台</w:t>
            </w:r>
          </w:p>
        </w:tc>
        <w:tc>
          <w:tcPr>
            <w:tcW w:w="1044" w:type="dxa"/>
            <w:tcBorders>
              <w:tl2br w:val="nil"/>
              <w:tr2bl w:val="nil"/>
            </w:tcBorders>
            <w:vAlign w:val="center"/>
          </w:tcPr>
          <w:p>
            <w:pPr>
              <w:keepLines w:val="0"/>
              <w:widowControl w:val="0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  <w:t>210台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  <w:t>46.86%</w:t>
            </w:r>
          </w:p>
        </w:tc>
        <w:tc>
          <w:tcPr>
            <w:tcW w:w="4904" w:type="dxa"/>
            <w:tcBorders>
              <w:tl2br w:val="nil"/>
              <w:tr2bl w:val="nil"/>
            </w:tcBorders>
            <w:vAlign w:val="center"/>
          </w:tcPr>
          <w:p>
            <w:pPr>
              <w:keepLines w:val="0"/>
              <w:widowControl w:val="0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262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  <w:t>并网容量</w:t>
            </w:r>
          </w:p>
        </w:tc>
        <w:tc>
          <w:tcPr>
            <w:tcW w:w="1092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  <w:t>100MW</w:t>
            </w:r>
          </w:p>
        </w:tc>
        <w:tc>
          <w:tcPr>
            <w:tcW w:w="1044" w:type="dxa"/>
            <w:tcBorders>
              <w:tl2br w:val="nil"/>
              <w:tr2bl w:val="nil"/>
            </w:tcBorders>
            <w:vAlign w:val="center"/>
          </w:tcPr>
          <w:p>
            <w:pPr>
              <w:keepLines w:val="0"/>
              <w:widowControl w:val="0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  <w:t>46.39MW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  <w:t>46.39%</w:t>
            </w:r>
          </w:p>
        </w:tc>
        <w:tc>
          <w:tcPr>
            <w:tcW w:w="4904" w:type="dxa"/>
            <w:tcBorders>
              <w:tl2br w:val="nil"/>
              <w:tr2bl w:val="nil"/>
            </w:tcBorders>
            <w:vAlign w:val="center"/>
          </w:tcPr>
          <w:p>
            <w:pPr>
              <w:keepLines w:val="0"/>
              <w:widowControl w:val="0"/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仿宋" w:hAnsi="仿宋" w:eastAsia="仿宋" w:cs="仿宋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rPr>
          <w:rFonts w:hint="default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安全文明施工情况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tbl>
      <w:tblPr>
        <w:tblStyle w:val="8"/>
        <w:tblW w:w="9990" w:type="dxa"/>
        <w:tblInd w:w="-1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0"/>
        <w:gridCol w:w="1260"/>
        <w:gridCol w:w="1200"/>
        <w:gridCol w:w="1470"/>
        <w:gridCol w:w="1230"/>
        <w:gridCol w:w="1200"/>
        <w:gridCol w:w="1080"/>
        <w:gridCol w:w="1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90" w:type="dxa"/>
            <w:gridSpan w:val="3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事故（起）</w:t>
            </w:r>
          </w:p>
        </w:tc>
        <w:tc>
          <w:tcPr>
            <w:tcW w:w="1470" w:type="dxa"/>
            <w:vMerge w:val="restart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编制安全策划文件（份）</w:t>
            </w:r>
          </w:p>
        </w:tc>
        <w:tc>
          <w:tcPr>
            <w:tcW w:w="1230" w:type="dxa"/>
            <w:vMerge w:val="restart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施工人数</w:t>
            </w:r>
          </w:p>
        </w:tc>
        <w:tc>
          <w:tcPr>
            <w:tcW w:w="3600" w:type="dxa"/>
            <w:gridSpan w:val="3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安全分包情况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23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人身重伤</w:t>
            </w:r>
          </w:p>
        </w:tc>
        <w:tc>
          <w:tcPr>
            <w:tcW w:w="126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机械设备</w:t>
            </w:r>
          </w:p>
        </w:tc>
        <w:tc>
          <w:tcPr>
            <w:tcW w:w="120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电网事故</w:t>
            </w:r>
          </w:p>
        </w:tc>
        <w:tc>
          <w:tcPr>
            <w:tcW w:w="1470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分包队伍数量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分包队伍人数</w:t>
            </w:r>
          </w:p>
        </w:tc>
        <w:tc>
          <w:tcPr>
            <w:tcW w:w="132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系统外包队伍数量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26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20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47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135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人</w:t>
            </w:r>
          </w:p>
        </w:tc>
        <w:tc>
          <w:tcPr>
            <w:tcW w:w="120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default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8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／</w:t>
            </w:r>
          </w:p>
        </w:tc>
        <w:tc>
          <w:tcPr>
            <w:tcW w:w="132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／</w:t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400" w:lineRule="exact"/>
        <w:jc w:val="left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施工重点工作情况</w:t>
      </w:r>
    </w:p>
    <w:tbl>
      <w:tblPr>
        <w:tblStyle w:val="8"/>
        <w:tblpPr w:leftFromText="180" w:rightFromText="180" w:vertAnchor="text" w:tblpX="-173" w:tblpY="1"/>
        <w:tblOverlap w:val="never"/>
        <w:tblW w:w="994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3"/>
        <w:gridCol w:w="4748"/>
        <w:gridCol w:w="43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474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本月重点工作情况</w:t>
            </w:r>
          </w:p>
        </w:tc>
        <w:tc>
          <w:tcPr>
            <w:tcW w:w="435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下月重点工作计划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2" w:hRule="atLeast"/>
        </w:trPr>
        <w:tc>
          <w:tcPr>
            <w:tcW w:w="84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进度管理</w:t>
            </w:r>
          </w:p>
        </w:tc>
        <w:tc>
          <w:tcPr>
            <w:tcW w:w="4748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对施工单位提交的三级进度计划审核</w:t>
            </w:r>
          </w:p>
          <w:p>
            <w:pPr>
              <w:pStyle w:val="2"/>
              <w:keepNext w:val="0"/>
              <w:keepLines w:val="0"/>
              <w:pageBreakBefore w:val="0"/>
              <w:framePr w:hSpace="0" w:wrap="auto" w:vAnchor="margin" w:hAnchor="text" w:xAlign="left" w:yAlign="inline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督促打桩、支架组件安装及电气施工进度</w:t>
            </w:r>
          </w:p>
        </w:tc>
        <w:tc>
          <w:tcPr>
            <w:tcW w:w="435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default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引孔、打桩、支架及组件安装，低压电缆、集电线路施工，箱变基础施工，箱变交接试验、电缆试验、并网容量达60MW。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安全管理</w:t>
            </w:r>
          </w:p>
        </w:tc>
        <w:tc>
          <w:tcPr>
            <w:tcW w:w="474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督促施工单位报审《安全文明施工管理制度》，安委会要定期对现场进行安全检查； </w:t>
            </w: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现场进行了消防应急演练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。审查施工项目部&lt;&lt;安全文明措施&gt;&gt;及施工项目部施工安全管理人员、特殊工种、特殊作业人员资格证明文件，实施安全</w:t>
            </w: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专项检查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，发现问题及时提出整改要求并限期改正。</w:t>
            </w:r>
          </w:p>
        </w:tc>
        <w:tc>
          <w:tcPr>
            <w:tcW w:w="435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400" w:lineRule="exac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1加强疫情防控措施，做好新进场人员技术、安全交底。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400" w:lineRule="exact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并网光伏区围栏施工及安全警示标牌悬挂。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400" w:lineRule="exact"/>
              <w:ind w:left="0" w:leftChars="0" w:firstLine="0" w:firstLineChars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加强现场防火消防检查尤其是光伏区杂草较多，严格审批动火作业票，严禁现场抽烟。</w:t>
            </w:r>
          </w:p>
          <w:p>
            <w:pPr>
              <w:pStyle w:val="2"/>
              <w:keepNext w:val="0"/>
              <w:keepLines w:val="0"/>
              <w:pageBreakBefore w:val="0"/>
              <w:framePr w:hSpace="0" w:wrap="auto" w:vAnchor="margin" w:hAnchor="text" w:xAlign="left" w:yAlign="inline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加强支架、组件安装人员，进场作业人员必须佩戴安全帽，超过2米以上作业必须佩戴安全带、安全帽，做好安全防护措施。</w:t>
            </w:r>
          </w:p>
          <w:p>
            <w:pPr>
              <w:pStyle w:val="2"/>
              <w:keepNext w:val="0"/>
              <w:keepLines w:val="0"/>
              <w:pageBreakBefore w:val="0"/>
              <w:framePr w:hSpace="0" w:wrap="auto" w:vAnchor="margin" w:hAnchor="text" w:xAlign="left" w:yAlign="inline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并网区域的箱逆变护栏制作、箱逆变悬挂安全警示标牌，箱逆变一体机更换门锁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质量管理</w:t>
            </w:r>
          </w:p>
        </w:tc>
        <w:tc>
          <w:tcPr>
            <w:tcW w:w="474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督促施工单位质量通病防治措施；监督施工项目部落实强制性条文的</w:t>
            </w: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检查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计划。</w:t>
            </w:r>
          </w:p>
        </w:tc>
        <w:tc>
          <w:tcPr>
            <w:tcW w:w="435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组件、低压直流电缆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进场</w:t>
            </w: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、土建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基础、</w:t>
            </w: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支架安装、</w:t>
            </w: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组件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接地、</w:t>
            </w: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光伏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电缆</w:t>
            </w: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汇流箱、箱逆变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等施工质量</w:t>
            </w: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检查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；单位工程重点部位施工进行旁站；督促施工单位质量通病防治措施；监督施工项目部落实强制性条文的</w:t>
            </w: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检查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计划。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技术管理</w:t>
            </w:r>
          </w:p>
        </w:tc>
        <w:tc>
          <w:tcPr>
            <w:tcW w:w="474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rPr>
                <w:rFonts w:hint="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熟悉施工图，针对现场施工必须按设计及相关技术规范要求实施。</w:t>
            </w:r>
          </w:p>
        </w:tc>
        <w:tc>
          <w:tcPr>
            <w:tcW w:w="435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督促施工单位对施工人员进行技术交底，现场检查施工人员是否按照</w:t>
            </w: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交底</w:t>
            </w: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及施工图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进行</w:t>
            </w: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5" w:hRule="atLeast"/>
        </w:trPr>
        <w:tc>
          <w:tcPr>
            <w:tcW w:w="84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物资供应</w:t>
            </w:r>
          </w:p>
        </w:tc>
        <w:tc>
          <w:tcPr>
            <w:tcW w:w="474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协助建设单位做好物资进场工作，督促施工单位做好物资保管，施工单位安排人员对施工现场进行巡查，确保物资不遗失</w:t>
            </w:r>
            <w:r>
              <w:rPr>
                <w:rFonts w:hint="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，并做现场成品材料的保护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435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rPr>
                <w:rFonts w:hint="default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箱逆变一体机，剩余组件全部到场。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4286"/>
          <w:tab w:val="right" w:pos="97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92" w:beforeLines="350" w:line="360" w:lineRule="auto"/>
        <w:jc w:val="distribute"/>
        <w:textAlignment w:val="auto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常州正衡电力工程监理有限公司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申宜宜城流水镇100MW农光互补光伏电站项目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20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05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31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日</w:t>
      </w:r>
    </w:p>
    <w:sectPr>
      <w:footerReference r:id="rId3" w:type="default"/>
      <w:pgSz w:w="11906" w:h="16838"/>
      <w:pgMar w:top="850" w:right="850" w:bottom="850" w:left="1417" w:header="851" w:footer="992" w:gutter="0"/>
      <w:pgNumType w:start="0"/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Garamond">
    <w:altName w:val="PMingLiU-ExtB"/>
    <w:panose1 w:val="02020404030301010803"/>
    <w:charset w:val="00"/>
    <w:family w:val="auto"/>
    <w:pitch w:val="default"/>
    <w:sig w:usb0="00000000" w:usb1="00000000" w:usb2="00000000" w:usb3="00000000" w:csb0="0000009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40521851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31FB3E"/>
    <w:multiLevelType w:val="singleLevel"/>
    <w:tmpl w:val="BE31FB3E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1CC38A85"/>
    <w:multiLevelType w:val="singleLevel"/>
    <w:tmpl w:val="1CC38A8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5MzdkNWJmYjczNzc0YjkwMzE2YmFmYTAyNTJlMDgifQ=="/>
  </w:docVars>
  <w:rsids>
    <w:rsidRoot w:val="00914097"/>
    <w:rsid w:val="00011723"/>
    <w:rsid w:val="00077CC1"/>
    <w:rsid w:val="00097764"/>
    <w:rsid w:val="000E35CD"/>
    <w:rsid w:val="000F3B67"/>
    <w:rsid w:val="00141B91"/>
    <w:rsid w:val="00144C26"/>
    <w:rsid w:val="00151B04"/>
    <w:rsid w:val="00155D85"/>
    <w:rsid w:val="00161D69"/>
    <w:rsid w:val="001E1B9C"/>
    <w:rsid w:val="001F7301"/>
    <w:rsid w:val="00212B48"/>
    <w:rsid w:val="00236CF4"/>
    <w:rsid w:val="00245C23"/>
    <w:rsid w:val="0027542C"/>
    <w:rsid w:val="00285532"/>
    <w:rsid w:val="002B2E21"/>
    <w:rsid w:val="002B7FC0"/>
    <w:rsid w:val="002D0084"/>
    <w:rsid w:val="00320C8C"/>
    <w:rsid w:val="003722F4"/>
    <w:rsid w:val="00392D99"/>
    <w:rsid w:val="003A5A33"/>
    <w:rsid w:val="003A5D2F"/>
    <w:rsid w:val="003C2C9A"/>
    <w:rsid w:val="003D18BB"/>
    <w:rsid w:val="003E340D"/>
    <w:rsid w:val="003F2278"/>
    <w:rsid w:val="00471426"/>
    <w:rsid w:val="004B638E"/>
    <w:rsid w:val="004D21FE"/>
    <w:rsid w:val="004D76AB"/>
    <w:rsid w:val="004E7B4F"/>
    <w:rsid w:val="00502559"/>
    <w:rsid w:val="00610000"/>
    <w:rsid w:val="00624B5B"/>
    <w:rsid w:val="006569BC"/>
    <w:rsid w:val="00694188"/>
    <w:rsid w:val="006C0B86"/>
    <w:rsid w:val="0070659B"/>
    <w:rsid w:val="00757994"/>
    <w:rsid w:val="00767D4C"/>
    <w:rsid w:val="0079121F"/>
    <w:rsid w:val="007A069A"/>
    <w:rsid w:val="007B6072"/>
    <w:rsid w:val="007B79EC"/>
    <w:rsid w:val="007C51F9"/>
    <w:rsid w:val="00812E5F"/>
    <w:rsid w:val="00827E7A"/>
    <w:rsid w:val="00846D39"/>
    <w:rsid w:val="00846E5C"/>
    <w:rsid w:val="00890A11"/>
    <w:rsid w:val="008960B9"/>
    <w:rsid w:val="00914097"/>
    <w:rsid w:val="00940405"/>
    <w:rsid w:val="00940639"/>
    <w:rsid w:val="00982770"/>
    <w:rsid w:val="009D6D71"/>
    <w:rsid w:val="009D775B"/>
    <w:rsid w:val="009E572E"/>
    <w:rsid w:val="009F1FCB"/>
    <w:rsid w:val="00A26815"/>
    <w:rsid w:val="00A4344D"/>
    <w:rsid w:val="00A54B17"/>
    <w:rsid w:val="00A7236B"/>
    <w:rsid w:val="00AA2FFC"/>
    <w:rsid w:val="00AB5966"/>
    <w:rsid w:val="00AD503D"/>
    <w:rsid w:val="00AD701C"/>
    <w:rsid w:val="00AF03B4"/>
    <w:rsid w:val="00B327D6"/>
    <w:rsid w:val="00B41BAE"/>
    <w:rsid w:val="00B45523"/>
    <w:rsid w:val="00B620D7"/>
    <w:rsid w:val="00B723F7"/>
    <w:rsid w:val="00B838A2"/>
    <w:rsid w:val="00B86917"/>
    <w:rsid w:val="00BD6F84"/>
    <w:rsid w:val="00C21FC9"/>
    <w:rsid w:val="00C2346C"/>
    <w:rsid w:val="00C30F97"/>
    <w:rsid w:val="00CA6B9A"/>
    <w:rsid w:val="00CB0F9B"/>
    <w:rsid w:val="00CC4AA3"/>
    <w:rsid w:val="00D36BA5"/>
    <w:rsid w:val="00D53735"/>
    <w:rsid w:val="00D64AFE"/>
    <w:rsid w:val="00D858ED"/>
    <w:rsid w:val="00D916FA"/>
    <w:rsid w:val="00DC684A"/>
    <w:rsid w:val="00E867F6"/>
    <w:rsid w:val="00EA58F2"/>
    <w:rsid w:val="00EB1CD3"/>
    <w:rsid w:val="00EF7645"/>
    <w:rsid w:val="00F17E55"/>
    <w:rsid w:val="00F20C3B"/>
    <w:rsid w:val="00F53423"/>
    <w:rsid w:val="00F7297C"/>
    <w:rsid w:val="00F85F8E"/>
    <w:rsid w:val="00F92BDA"/>
    <w:rsid w:val="00FA5105"/>
    <w:rsid w:val="00FC76D3"/>
    <w:rsid w:val="00FD4BE9"/>
    <w:rsid w:val="01AE23A7"/>
    <w:rsid w:val="024910D4"/>
    <w:rsid w:val="045808C7"/>
    <w:rsid w:val="0526190A"/>
    <w:rsid w:val="05B1339C"/>
    <w:rsid w:val="06621E43"/>
    <w:rsid w:val="06677F8C"/>
    <w:rsid w:val="07220E97"/>
    <w:rsid w:val="077034BB"/>
    <w:rsid w:val="0A386C63"/>
    <w:rsid w:val="0A6D50EC"/>
    <w:rsid w:val="0ABF0394"/>
    <w:rsid w:val="0ADA25A5"/>
    <w:rsid w:val="0AE27B3A"/>
    <w:rsid w:val="0B5A53EB"/>
    <w:rsid w:val="0B95616A"/>
    <w:rsid w:val="0BC15C9A"/>
    <w:rsid w:val="0C071AC7"/>
    <w:rsid w:val="0C5522F4"/>
    <w:rsid w:val="0C5A6C9C"/>
    <w:rsid w:val="0D830EA6"/>
    <w:rsid w:val="0E1867C8"/>
    <w:rsid w:val="0E666073"/>
    <w:rsid w:val="0EBB5967"/>
    <w:rsid w:val="0F544A85"/>
    <w:rsid w:val="0F905581"/>
    <w:rsid w:val="10E647F0"/>
    <w:rsid w:val="11013837"/>
    <w:rsid w:val="116D5256"/>
    <w:rsid w:val="11A0337E"/>
    <w:rsid w:val="123D2D21"/>
    <w:rsid w:val="12CD5618"/>
    <w:rsid w:val="139F6D02"/>
    <w:rsid w:val="13CA1C0E"/>
    <w:rsid w:val="14464442"/>
    <w:rsid w:val="14666BD5"/>
    <w:rsid w:val="14AF4EB1"/>
    <w:rsid w:val="14CB5861"/>
    <w:rsid w:val="164F087F"/>
    <w:rsid w:val="168C6FFD"/>
    <w:rsid w:val="174961A1"/>
    <w:rsid w:val="176E0A6B"/>
    <w:rsid w:val="17915126"/>
    <w:rsid w:val="179248DE"/>
    <w:rsid w:val="17C806ED"/>
    <w:rsid w:val="188E3FB6"/>
    <w:rsid w:val="189A3847"/>
    <w:rsid w:val="18B27912"/>
    <w:rsid w:val="19595391"/>
    <w:rsid w:val="1A9764DA"/>
    <w:rsid w:val="1AB8229E"/>
    <w:rsid w:val="1AC65E6D"/>
    <w:rsid w:val="1AD834EF"/>
    <w:rsid w:val="1B312368"/>
    <w:rsid w:val="1C0C4992"/>
    <w:rsid w:val="1D345F80"/>
    <w:rsid w:val="1D86721D"/>
    <w:rsid w:val="1EB11C69"/>
    <w:rsid w:val="1F16388C"/>
    <w:rsid w:val="1F8326BC"/>
    <w:rsid w:val="212B659B"/>
    <w:rsid w:val="217E0815"/>
    <w:rsid w:val="218B5FA8"/>
    <w:rsid w:val="21BB6D29"/>
    <w:rsid w:val="225E17FF"/>
    <w:rsid w:val="228D6A14"/>
    <w:rsid w:val="23A93B82"/>
    <w:rsid w:val="23C071A7"/>
    <w:rsid w:val="24186FBC"/>
    <w:rsid w:val="24234D1D"/>
    <w:rsid w:val="248766DA"/>
    <w:rsid w:val="24F0088C"/>
    <w:rsid w:val="25D5728E"/>
    <w:rsid w:val="264F523F"/>
    <w:rsid w:val="266C2176"/>
    <w:rsid w:val="26C42062"/>
    <w:rsid w:val="26CB280B"/>
    <w:rsid w:val="272760E0"/>
    <w:rsid w:val="281967A1"/>
    <w:rsid w:val="285558F8"/>
    <w:rsid w:val="29EA0AF8"/>
    <w:rsid w:val="2A2B3E65"/>
    <w:rsid w:val="2BA90932"/>
    <w:rsid w:val="2C805F18"/>
    <w:rsid w:val="2D127814"/>
    <w:rsid w:val="2D391CD1"/>
    <w:rsid w:val="2D3C3D4C"/>
    <w:rsid w:val="2DDD2860"/>
    <w:rsid w:val="2DFC442B"/>
    <w:rsid w:val="2E6678EE"/>
    <w:rsid w:val="2ED6231F"/>
    <w:rsid w:val="2F0A60A5"/>
    <w:rsid w:val="2F2C0D1B"/>
    <w:rsid w:val="2F606CE4"/>
    <w:rsid w:val="2F80126A"/>
    <w:rsid w:val="2FE87BED"/>
    <w:rsid w:val="2FF5667B"/>
    <w:rsid w:val="306753B4"/>
    <w:rsid w:val="307B3A87"/>
    <w:rsid w:val="307D1BEF"/>
    <w:rsid w:val="314115EB"/>
    <w:rsid w:val="317743BC"/>
    <w:rsid w:val="32246B18"/>
    <w:rsid w:val="326669A3"/>
    <w:rsid w:val="32D53298"/>
    <w:rsid w:val="34357464"/>
    <w:rsid w:val="345D59BE"/>
    <w:rsid w:val="348E4CAC"/>
    <w:rsid w:val="34C26F7D"/>
    <w:rsid w:val="3710594F"/>
    <w:rsid w:val="3742287E"/>
    <w:rsid w:val="37D24224"/>
    <w:rsid w:val="38BF4998"/>
    <w:rsid w:val="392E576B"/>
    <w:rsid w:val="39667A43"/>
    <w:rsid w:val="398F137C"/>
    <w:rsid w:val="3A111016"/>
    <w:rsid w:val="3B2B6E29"/>
    <w:rsid w:val="3B5F22D0"/>
    <w:rsid w:val="3B955003"/>
    <w:rsid w:val="3B986945"/>
    <w:rsid w:val="3BC834DE"/>
    <w:rsid w:val="3C2434DB"/>
    <w:rsid w:val="3C283C95"/>
    <w:rsid w:val="3C2A560E"/>
    <w:rsid w:val="3C8C4159"/>
    <w:rsid w:val="3CA1135A"/>
    <w:rsid w:val="3CA7741B"/>
    <w:rsid w:val="3CF422AA"/>
    <w:rsid w:val="3D3A1E4E"/>
    <w:rsid w:val="3DD84018"/>
    <w:rsid w:val="3E1D201D"/>
    <w:rsid w:val="3EE379AC"/>
    <w:rsid w:val="3EEC4186"/>
    <w:rsid w:val="3F784EF9"/>
    <w:rsid w:val="402613EE"/>
    <w:rsid w:val="404D5D08"/>
    <w:rsid w:val="40656B1F"/>
    <w:rsid w:val="40B270E8"/>
    <w:rsid w:val="41131D05"/>
    <w:rsid w:val="4194536F"/>
    <w:rsid w:val="41E854DB"/>
    <w:rsid w:val="42154E6A"/>
    <w:rsid w:val="422F3456"/>
    <w:rsid w:val="439201A1"/>
    <w:rsid w:val="443A21F3"/>
    <w:rsid w:val="44BF6536"/>
    <w:rsid w:val="45557E0F"/>
    <w:rsid w:val="4576424F"/>
    <w:rsid w:val="459C73AC"/>
    <w:rsid w:val="45BF3828"/>
    <w:rsid w:val="46F67E02"/>
    <w:rsid w:val="470F59EB"/>
    <w:rsid w:val="47314DC0"/>
    <w:rsid w:val="478C15C5"/>
    <w:rsid w:val="48126F28"/>
    <w:rsid w:val="486007D4"/>
    <w:rsid w:val="48850ECA"/>
    <w:rsid w:val="49455437"/>
    <w:rsid w:val="499734A2"/>
    <w:rsid w:val="49B721A5"/>
    <w:rsid w:val="49D50374"/>
    <w:rsid w:val="4A1B75E2"/>
    <w:rsid w:val="4A962DDD"/>
    <w:rsid w:val="4B413F9D"/>
    <w:rsid w:val="4B4B2A69"/>
    <w:rsid w:val="4B614244"/>
    <w:rsid w:val="4B993848"/>
    <w:rsid w:val="4BA24126"/>
    <w:rsid w:val="4BA74CBF"/>
    <w:rsid w:val="4C8E1608"/>
    <w:rsid w:val="4CB01146"/>
    <w:rsid w:val="4D5555FF"/>
    <w:rsid w:val="4D6727DE"/>
    <w:rsid w:val="4D8D407F"/>
    <w:rsid w:val="4EBE1630"/>
    <w:rsid w:val="4EF94E88"/>
    <w:rsid w:val="4F692E52"/>
    <w:rsid w:val="4FF162DD"/>
    <w:rsid w:val="50955230"/>
    <w:rsid w:val="51773ACA"/>
    <w:rsid w:val="51914AC1"/>
    <w:rsid w:val="521C56C6"/>
    <w:rsid w:val="52AA201D"/>
    <w:rsid w:val="52FE6E51"/>
    <w:rsid w:val="53433144"/>
    <w:rsid w:val="53BB53EB"/>
    <w:rsid w:val="53D61223"/>
    <w:rsid w:val="53F62B50"/>
    <w:rsid w:val="546A51D7"/>
    <w:rsid w:val="54765790"/>
    <w:rsid w:val="54E028F9"/>
    <w:rsid w:val="554A69A4"/>
    <w:rsid w:val="555F14B5"/>
    <w:rsid w:val="55A437E6"/>
    <w:rsid w:val="56170AFE"/>
    <w:rsid w:val="561D36BE"/>
    <w:rsid w:val="5637779A"/>
    <w:rsid w:val="5648396E"/>
    <w:rsid w:val="56D34B79"/>
    <w:rsid w:val="56F905B2"/>
    <w:rsid w:val="56FA5A54"/>
    <w:rsid w:val="577061B1"/>
    <w:rsid w:val="57C2512B"/>
    <w:rsid w:val="57D86249"/>
    <w:rsid w:val="57D929F9"/>
    <w:rsid w:val="581640FA"/>
    <w:rsid w:val="581841BB"/>
    <w:rsid w:val="5875290A"/>
    <w:rsid w:val="5A053517"/>
    <w:rsid w:val="5AD311DF"/>
    <w:rsid w:val="5B1460CA"/>
    <w:rsid w:val="5B413D2C"/>
    <w:rsid w:val="5BBC28DE"/>
    <w:rsid w:val="5C116D80"/>
    <w:rsid w:val="5C230EA5"/>
    <w:rsid w:val="5C834B7F"/>
    <w:rsid w:val="5CCC1163"/>
    <w:rsid w:val="5CE3585A"/>
    <w:rsid w:val="5D265F8B"/>
    <w:rsid w:val="5F1F634C"/>
    <w:rsid w:val="60442653"/>
    <w:rsid w:val="6075785E"/>
    <w:rsid w:val="60FB2641"/>
    <w:rsid w:val="61580F68"/>
    <w:rsid w:val="62533464"/>
    <w:rsid w:val="63430C86"/>
    <w:rsid w:val="63C803E1"/>
    <w:rsid w:val="6422360A"/>
    <w:rsid w:val="6445576F"/>
    <w:rsid w:val="64F14430"/>
    <w:rsid w:val="652F454B"/>
    <w:rsid w:val="658100D9"/>
    <w:rsid w:val="65AB4CFF"/>
    <w:rsid w:val="65C2051A"/>
    <w:rsid w:val="66AF1436"/>
    <w:rsid w:val="67023965"/>
    <w:rsid w:val="6760770D"/>
    <w:rsid w:val="68027908"/>
    <w:rsid w:val="681620C1"/>
    <w:rsid w:val="68955833"/>
    <w:rsid w:val="689833AA"/>
    <w:rsid w:val="6976022A"/>
    <w:rsid w:val="6A6B5CB2"/>
    <w:rsid w:val="6A880C15"/>
    <w:rsid w:val="6AD37A10"/>
    <w:rsid w:val="6CFC3F6A"/>
    <w:rsid w:val="6D74794B"/>
    <w:rsid w:val="6DBC3301"/>
    <w:rsid w:val="6E202CB4"/>
    <w:rsid w:val="6E511395"/>
    <w:rsid w:val="6EEE1F79"/>
    <w:rsid w:val="6F1E0734"/>
    <w:rsid w:val="6FB00385"/>
    <w:rsid w:val="70242E89"/>
    <w:rsid w:val="71E306C4"/>
    <w:rsid w:val="72437F14"/>
    <w:rsid w:val="724753DA"/>
    <w:rsid w:val="731B0061"/>
    <w:rsid w:val="734A0DAD"/>
    <w:rsid w:val="73F94D67"/>
    <w:rsid w:val="7497693B"/>
    <w:rsid w:val="74D44FFF"/>
    <w:rsid w:val="755325D9"/>
    <w:rsid w:val="755B4248"/>
    <w:rsid w:val="76A55366"/>
    <w:rsid w:val="76CC11D5"/>
    <w:rsid w:val="77036987"/>
    <w:rsid w:val="771B3DE5"/>
    <w:rsid w:val="775F1A37"/>
    <w:rsid w:val="77CF06C3"/>
    <w:rsid w:val="77D1784A"/>
    <w:rsid w:val="77FB0E29"/>
    <w:rsid w:val="78114624"/>
    <w:rsid w:val="78BB75D6"/>
    <w:rsid w:val="792C1581"/>
    <w:rsid w:val="793A57D7"/>
    <w:rsid w:val="79471784"/>
    <w:rsid w:val="797A074D"/>
    <w:rsid w:val="7A205CEA"/>
    <w:rsid w:val="7D300941"/>
    <w:rsid w:val="7D5A2CC9"/>
    <w:rsid w:val="7DA94FCC"/>
    <w:rsid w:val="7E996C54"/>
    <w:rsid w:val="7F24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framePr w:hSpace="180" w:wrap="around" w:vAnchor="margin" w:hAnchor="margin" w:xAlign="center" w:y="639"/>
      <w:widowControl/>
      <w:spacing w:line="480" w:lineRule="auto"/>
    </w:pPr>
    <w:rPr>
      <w:rFonts w:ascii="Garamond" w:hAnsi="Garamond"/>
      <w:sz w:val="24"/>
    </w:rPr>
  </w:style>
  <w:style w:type="paragraph" w:styleId="3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2"/>
    <w:basedOn w:val="1"/>
    <w:qFormat/>
    <w:uiPriority w:val="99"/>
    <w:pPr>
      <w:spacing w:after="120" w:line="480" w:lineRule="auto"/>
    </w:pPr>
    <w:rPr>
      <w:kern w:val="0"/>
      <w:sz w:val="20"/>
      <w:szCs w:val="20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批注框文本 字符"/>
    <w:basedOn w:val="9"/>
    <w:link w:val="3"/>
    <w:semiHidden/>
    <w:qFormat/>
    <w:uiPriority w:val="99"/>
    <w:rPr>
      <w:sz w:val="18"/>
      <w:szCs w:val="18"/>
    </w:rPr>
  </w:style>
  <w:style w:type="paragraph" w:customStyle="1" w:styleId="11">
    <w:name w:val="列表段落1"/>
    <w:basedOn w:val="1"/>
    <w:qFormat/>
    <w:uiPriority w:val="34"/>
    <w:pPr>
      <w:ind w:firstLine="420" w:firstLineChars="200"/>
    </w:pPr>
  </w:style>
  <w:style w:type="character" w:customStyle="1" w:styleId="12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4"/>
    <w:qFormat/>
    <w:uiPriority w:val="99"/>
    <w:rPr>
      <w:sz w:val="18"/>
      <w:szCs w:val="18"/>
    </w:rPr>
  </w:style>
  <w:style w:type="paragraph" w:customStyle="1" w:styleId="14">
    <w:name w:val="List Paragraph"/>
    <w:basedOn w:val="1"/>
    <w:qFormat/>
    <w:uiPriority w:val="99"/>
    <w:pPr>
      <w:adjustRightInd/>
      <w:spacing w:line="240" w:lineRule="auto"/>
      <w:ind w:firstLine="420" w:firstLineChars="200"/>
      <w:jc w:val="both"/>
      <w:textAlignment w:val="auto"/>
    </w:pPr>
    <w:rPr>
      <w:rFonts w:ascii="Times New Roman" w:hAnsi="Times New Roman"/>
      <w:kern w:val="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CF7B3-2C38-44FA-A5F7-904EF181BD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2563</Words>
  <Characters>2849</Characters>
  <Lines>14</Lines>
  <Paragraphs>4</Paragraphs>
  <TotalTime>15</TotalTime>
  <ScaleCrop>false</ScaleCrop>
  <LinksUpToDate>false</LinksUpToDate>
  <CharactersWithSpaces>2905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2019-07-25T01:43:00Z</dcterms:created>
  <dc:creator>DELL-N4050</dc:creator>
  <cp:lastModifiedBy>Administrator</cp:lastModifiedBy>
  <cp:lastPrinted>2021-11-02T10:27:00Z</cp:lastPrinted>
  <dcterms:modified xsi:type="dcterms:W3CDTF">2022-05-30T23:50:19Z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AE8513EF20B348078B35405F330D2F66</vt:lpwstr>
  </property>
</Properties>
</file>