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编号：</w:t>
      </w:r>
      <w:r>
        <w:rPr>
          <w:rFonts w:hint="eastAsia"/>
          <w:color w:val="000000" w:themeColor="text1"/>
          <w:sz w:val="24"/>
          <w:szCs w:val="24"/>
          <w:lang w:val="en-US" w:eastAsia="zh-CN"/>
          <w14:textFill>
            <w14:solidFill>
              <w14:schemeClr w14:val="tx1"/>
            </w14:solidFill>
          </w14:textFill>
        </w:rPr>
        <w:t>ZHFD-ZHJL-YB-004</w:t>
      </w:r>
      <w:r>
        <w:rPr>
          <w:rFonts w:hint="eastAsia"/>
          <w:color w:val="000000" w:themeColor="text1"/>
          <w:sz w:val="24"/>
          <w:szCs w:val="24"/>
          <w:lang w:val="en-US" w:eastAsia="zh-CN"/>
          <w14:textFill>
            <w14:solidFill>
              <w14:schemeClr w14:val="tx1"/>
            </w14:solidFill>
          </w14:textFill>
        </w:rPr>
        <w:tab/>
      </w:r>
    </w:p>
    <w:p>
      <w:pPr>
        <w:rPr>
          <w:color w:val="000000" w:themeColor="text1"/>
          <w:sz w:val="24"/>
          <w:szCs w:val="24"/>
          <w14:textFill>
            <w14:solidFill>
              <w14:schemeClr w14:val="tx1"/>
            </w14:solidFill>
          </w14:textFill>
        </w:rPr>
      </w:pPr>
    </w:p>
    <w:p>
      <w:pPr>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spacing w:before="1248" w:beforeLines="400" w:after="468" w:afterLines="150" w:line="480" w:lineRule="auto"/>
        <w:ind w:firstLine="3080" w:firstLineChars="700"/>
        <w:jc w:val="both"/>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监  理  月  报</w:t>
      </w:r>
    </w:p>
    <w:p>
      <w:pPr>
        <w:pStyle w:val="2"/>
        <w:spacing w:before="156" w:after="120"/>
        <w:jc w:val="center"/>
        <w:rPr>
          <w:rFonts w:hint="eastAsia" w:ascii="黑体" w:hAnsi="黑体" w:eastAsia="黑体"/>
          <w:color w:val="000000" w:themeColor="text1"/>
          <w:sz w:val="28"/>
          <w:szCs w:val="28"/>
          <w14:textFill>
            <w14:solidFill>
              <w14:schemeClr w14:val="tx1"/>
            </w14:solidFill>
          </w14:textFill>
        </w:rPr>
      </w:pPr>
      <w:r>
        <w:rPr>
          <w:rFonts w:hint="eastAsia" w:ascii="宋体" w:hAnsi="宋体" w:eastAsia="宋体" w:cs="宋体"/>
          <w:b/>
          <w:bCs/>
          <w:i w:val="0"/>
          <w:iCs w:val="0"/>
          <w:sz w:val="28"/>
          <w:szCs w:val="28"/>
          <w:u w:val="none"/>
          <w:lang w:val="en-US" w:eastAsia="zh-CN"/>
        </w:rPr>
        <w:t>工程名称： 赞皇40万千瓦一期20万千瓦风电项目 （本期10万千瓦）</w:t>
      </w:r>
    </w:p>
    <w:p>
      <w:pPr>
        <w:pStyle w:val="2"/>
        <w:spacing w:before="156" w:after="120"/>
        <w:jc w:val="center"/>
        <w:rPr>
          <w:rFonts w:hint="eastAsia" w:ascii="宋体" w:hAnsi="宋体" w:eastAsia="宋体" w:cs="宋体"/>
          <w:b/>
          <w:bCs/>
          <w:i w:val="0"/>
          <w:iCs w:val="0"/>
          <w:sz w:val="28"/>
          <w:szCs w:val="28"/>
          <w:u w:val="none"/>
          <w:lang w:val="en-US" w:eastAsia="zh-CN"/>
        </w:rPr>
      </w:pPr>
    </w:p>
    <w:p>
      <w:pPr>
        <w:rPr>
          <w:lang w:val="en-US"/>
        </w:rPr>
      </w:pPr>
    </w:p>
    <w:p>
      <w:pPr>
        <w:ind w:firstLine="3213" w:firstLineChars="1000"/>
        <w:jc w:val="both"/>
        <w:rPr>
          <w:rFonts w:hint="eastAsia"/>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22</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8</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月</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 xml:space="preserve"> </w:t>
      </w:r>
      <w:r>
        <w:rPr>
          <w:rFonts w:hint="eastAsia"/>
          <w:color w:val="000000" w:themeColor="text1"/>
          <w:sz w:val="32"/>
          <w:szCs w:val="32"/>
          <w:lang w:val="en-US" w:eastAsia="zh-CN"/>
          <w14:textFill>
            <w14:solidFill>
              <w14:schemeClr w14:val="tx1"/>
            </w14:solidFill>
          </w14:textFill>
        </w:rPr>
        <w:t xml:space="preserve">第4期 </w:t>
      </w: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center"/>
        <w:rPr>
          <w:rFonts w:hint="eastAsia"/>
          <w:color w:val="000000" w:themeColor="text1"/>
          <w:sz w:val="24"/>
          <w:szCs w:val="24"/>
          <w14:textFill>
            <w14:solidFill>
              <w14:schemeClr w14:val="tx1"/>
            </w14:solidFill>
          </w14:textFill>
        </w:rPr>
      </w:pPr>
    </w:p>
    <w:p>
      <w:pPr>
        <w:topLinePunct/>
        <w:ind w:firstLine="3534" w:firstLineChars="1100"/>
        <w:jc w:val="both"/>
        <w:rPr>
          <w:rFonts w:hint="eastAsia" w:eastAsiaTheme="minorEastAsia"/>
          <w:b/>
          <w:bCs/>
          <w:sz w:val="32"/>
          <w:szCs w:val="32"/>
          <w:u w:val="single"/>
          <w:lang w:eastAsia="zh-CN"/>
        </w:rPr>
      </w:pPr>
      <w:r>
        <w:rPr>
          <w:rFonts w:hint="eastAsia"/>
          <w:b/>
          <w:bCs/>
          <w:sz w:val="32"/>
          <w:szCs w:val="32"/>
        </w:rPr>
        <w:t>总监理工程师</w:t>
      </w:r>
    </w:p>
    <w:p>
      <w:pPr>
        <w:topLinePunct/>
        <w:ind w:firstLine="425"/>
        <w:rPr>
          <w:rFonts w:hint="eastAsia"/>
          <w:b/>
          <w:bCs/>
          <w:sz w:val="32"/>
          <w:szCs w:val="32"/>
          <w:u w:val="single"/>
        </w:rPr>
      </w:pPr>
    </w:p>
    <w:p>
      <w:pPr>
        <w:topLinePunct/>
        <w:ind w:firstLine="425"/>
        <w:rPr>
          <w:rFonts w:hint="eastAsia"/>
          <w:szCs w:val="21"/>
        </w:rPr>
      </w:pPr>
    </w:p>
    <w:p>
      <w:pPr>
        <w:topLinePunct/>
        <w:ind w:firstLine="425"/>
        <w:rPr>
          <w:rFonts w:hint="eastAsia"/>
          <w:szCs w:val="21"/>
        </w:rPr>
      </w:pPr>
    </w:p>
    <w:p>
      <w:pPr>
        <w:topLinePunct/>
        <w:ind w:firstLine="425"/>
        <w:rPr>
          <w:rFonts w:hint="eastAsia"/>
          <w:szCs w:val="21"/>
        </w:rPr>
      </w:pPr>
    </w:p>
    <w:p>
      <w:pPr>
        <w:topLinePunct/>
        <w:rPr>
          <w:rFonts w:hint="eastAsia"/>
          <w:b/>
          <w:bCs/>
          <w:sz w:val="32"/>
          <w:szCs w:val="32"/>
        </w:rPr>
      </w:pPr>
    </w:p>
    <w:p>
      <w:pPr>
        <w:topLinePunct/>
        <w:ind w:firstLine="3216" w:firstLineChars="1001"/>
        <w:jc w:val="both"/>
        <w:rPr>
          <w:rFonts w:hint="eastAsia"/>
          <w:b/>
          <w:bCs/>
          <w:sz w:val="32"/>
          <w:szCs w:val="32"/>
          <w:u w:val="single"/>
        </w:rPr>
      </w:pPr>
      <w:r>
        <w:rPr>
          <w:rFonts w:hint="eastAsia"/>
          <w:b/>
          <w:bCs/>
          <w:sz w:val="32"/>
          <w:szCs w:val="32"/>
        </w:rPr>
        <w:t>监理项目部（章）</w:t>
      </w:r>
    </w:p>
    <w:p>
      <w:pPr>
        <w:topLinePunct/>
        <w:ind w:firstLine="425"/>
        <w:jc w:val="center"/>
        <w:rPr>
          <w:rFonts w:hint="eastAsia"/>
          <w:b/>
          <w:bCs/>
          <w:sz w:val="32"/>
          <w:szCs w:val="32"/>
        </w:rPr>
      </w:pPr>
    </w:p>
    <w:p>
      <w:pPr>
        <w:topLinePunct/>
        <w:ind w:firstLine="2573" w:firstLineChars="801"/>
        <w:jc w:val="both"/>
        <w:rPr>
          <w:rFonts w:hint="eastAsia"/>
          <w:b/>
          <w:bCs/>
          <w:sz w:val="32"/>
          <w:szCs w:val="32"/>
        </w:rPr>
      </w:pPr>
      <w:r>
        <w:rPr>
          <w:rFonts w:hint="eastAsia"/>
          <w:b/>
          <w:bCs/>
          <w:sz w:val="32"/>
          <w:szCs w:val="32"/>
        </w:rPr>
        <w:t>报告日期：</w:t>
      </w:r>
      <w:r>
        <w:rPr>
          <w:rFonts w:hint="eastAsia"/>
          <w:b/>
          <w:bCs/>
          <w:sz w:val="32"/>
          <w:szCs w:val="32"/>
          <w:lang w:val="en-US" w:eastAsia="zh-CN"/>
        </w:rPr>
        <w:t>2022</w:t>
      </w:r>
      <w:r>
        <w:rPr>
          <w:rFonts w:hint="eastAsia"/>
          <w:b/>
          <w:bCs/>
          <w:sz w:val="32"/>
          <w:szCs w:val="32"/>
        </w:rPr>
        <w:t>年</w:t>
      </w:r>
      <w:r>
        <w:rPr>
          <w:rFonts w:hint="eastAsia"/>
          <w:b/>
          <w:bCs/>
          <w:sz w:val="32"/>
          <w:szCs w:val="32"/>
          <w:lang w:val="en-US" w:eastAsia="zh-CN"/>
        </w:rPr>
        <w:t>8</w:t>
      </w:r>
      <w:r>
        <w:rPr>
          <w:rFonts w:hint="eastAsia"/>
          <w:b/>
          <w:bCs/>
          <w:sz w:val="32"/>
          <w:szCs w:val="32"/>
        </w:rPr>
        <w:t>月</w:t>
      </w:r>
      <w:r>
        <w:rPr>
          <w:rFonts w:hint="eastAsia"/>
          <w:b/>
          <w:bCs/>
          <w:sz w:val="32"/>
          <w:szCs w:val="32"/>
          <w:lang w:val="en-US" w:eastAsia="zh-CN"/>
        </w:rPr>
        <w:t>31</w:t>
      </w:r>
      <w:r>
        <w:rPr>
          <w:rFonts w:hint="eastAsia"/>
          <w:b/>
          <w:bCs/>
          <w:sz w:val="32"/>
          <w:szCs w:val="32"/>
        </w:rPr>
        <w:t>日</w:t>
      </w:r>
    </w:p>
    <w:p>
      <w:pPr>
        <w:pStyle w:val="3"/>
        <w:spacing w:before="0"/>
        <w:rPr>
          <w:sz w:val="18"/>
        </w:rPr>
      </w:pPr>
    </w:p>
    <w:p>
      <w:pPr>
        <w:topLinePunct/>
        <w:ind w:firstLine="425"/>
      </w:pPr>
    </w:p>
    <w:p>
      <w:pPr>
        <w:topLinePunct/>
        <w:ind w:firstLine="425"/>
      </w:pPr>
      <w:r>
        <w:t xml:space="preserve"> </w:t>
      </w:r>
      <w:bookmarkStart w:id="0" w:name="_GoBack"/>
      <w:bookmarkEnd w:id="0"/>
    </w:p>
    <w:p>
      <w:pPr>
        <w:topLinePunct/>
        <w:ind w:firstLine="425"/>
      </w:pPr>
    </w:p>
    <w:p>
      <w:pPr>
        <w:jc w:val="center"/>
        <w:rPr>
          <w:rFonts w:hint="default" w:asciiTheme="majorEastAsia" w:hAnsiTheme="majorEastAsia" w:eastAsiaTheme="majorEastAsia" w:cstheme="majorEastAsia"/>
          <w:color w:val="000000" w:themeColor="text1"/>
          <w:sz w:val="32"/>
          <w:szCs w:val="32"/>
          <w:u w:val="single"/>
          <w:lang w:val="en-US" w:eastAsia="zh-CN"/>
          <w14:textFill>
            <w14:solidFill>
              <w14:schemeClr w14:val="tx1"/>
            </w14:solidFill>
          </w14:textFill>
        </w:rPr>
      </w:pPr>
      <w:r>
        <w:rPr>
          <w:rFonts w:hint="eastAsia"/>
          <w:color w:val="000000" w:themeColor="text1"/>
          <w:sz w:val="32"/>
          <w:szCs w:val="32"/>
          <w14:textFill>
            <w14:solidFill>
              <w14:schemeClr w14:val="tx1"/>
            </w14:solidFill>
          </w14:textFill>
        </w:rPr>
        <w:t xml:space="preserve"> </w:t>
      </w:r>
      <w:r>
        <w:rPr>
          <w:rFonts w:hint="eastAsia"/>
          <w:color w:val="000000" w:themeColor="text1"/>
          <w:sz w:val="32"/>
          <w:szCs w:val="32"/>
          <w:lang w:val="en-US" w:eastAsia="zh-CN"/>
          <w14:textFill>
            <w14:solidFill>
              <w14:schemeClr w14:val="tx1"/>
            </w14:solidFill>
          </w14:textFill>
        </w:rPr>
        <w:t xml:space="preserve">监 </w:t>
      </w:r>
      <w:r>
        <w:rPr>
          <w:rFonts w:hint="eastAsia"/>
          <w:color w:val="000000" w:themeColor="text1"/>
          <w:sz w:val="32"/>
          <w:szCs w:val="32"/>
          <w14:textFill>
            <w14:solidFill>
              <w14:schemeClr w14:val="tx1"/>
            </w14:solidFill>
          </w14:textFill>
        </w:rPr>
        <w:t xml:space="preserve"> 理  月  报</w:t>
      </w:r>
    </w:p>
    <w:p>
      <w:pPr>
        <w:pStyle w:val="9"/>
        <w:numPr>
          <w:ilvl w:val="0"/>
          <w:numId w:val="1"/>
        </w:numPr>
        <w:spacing w:before="156" w:beforeLines="50" w:after="156" w:afterLines="50" w:line="360" w:lineRule="auto"/>
        <w:ind w:left="612" w:leftChars="0" w:hanging="612"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监理重点工作情况</w:t>
      </w:r>
    </w:p>
    <w:tbl>
      <w:tblPr>
        <w:tblStyle w:val="7"/>
        <w:tblW w:w="9566"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64"/>
        <w:gridCol w:w="3761"/>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1"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w:t>
            </w: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事项</w:t>
            </w:r>
          </w:p>
        </w:tc>
        <w:tc>
          <w:tcPr>
            <w:tcW w:w="3761"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本月重点工作情况</w:t>
            </w:r>
          </w:p>
        </w:tc>
        <w:tc>
          <w:tcPr>
            <w:tcW w:w="3560"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协调</w:t>
            </w: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组织工作</w:t>
            </w:r>
          </w:p>
        </w:tc>
        <w:tc>
          <w:tcPr>
            <w:tcW w:w="3761" w:type="dxa"/>
            <w:vAlign w:val="center"/>
          </w:tcPr>
          <w:p>
            <w:pPr>
              <w:numPr>
                <w:ilvl w:val="0"/>
                <w:numId w:val="2"/>
              </w:num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组织召开工地例会召开4期、安全工地例会召开4期，并形成会议纪要。</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在协调方面进一步沟通业主、EPC总包单位，加快征地协调工作，督促施工单位做好资料报审。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6" w:hRule="atLeast"/>
        </w:trPr>
        <w:tc>
          <w:tcPr>
            <w:tcW w:w="681" w:type="dxa"/>
            <w:vMerge w:val="restart"/>
            <w:vAlign w:val="center"/>
          </w:tcPr>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进度</w:t>
            </w:r>
          </w:p>
        </w:tc>
        <w:tc>
          <w:tcPr>
            <w:tcW w:w="1564" w:type="dxa"/>
            <w:vAlign w:val="center"/>
          </w:tcPr>
          <w:p>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主要工序</w:t>
            </w:r>
          </w:p>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工    作</w:t>
            </w:r>
          </w:p>
        </w:tc>
        <w:tc>
          <w:tcPr>
            <w:tcW w:w="3761" w:type="dxa"/>
            <w:vAlign w:val="center"/>
          </w:tcPr>
          <w:p>
            <w:pPr>
              <w:numPr>
                <w:ilvl w:val="0"/>
                <w:numId w:val="3"/>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2022年81月1日到2022年8月31日每天编写的监理工作日志，编写监理周报4份，月报月1份，编写隐蔽工程监理检查记录15份。</w:t>
            </w:r>
          </w:p>
          <w:p>
            <w:pPr>
              <w:numPr>
                <w:ilvl w:val="0"/>
                <w:numId w:val="3"/>
              </w:numPr>
              <w:spacing w:line="360" w:lineRule="auto"/>
              <w:ind w:left="0" w:leftChars="0" w:firstLine="0" w:firstLineChars="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Calibri" w:hAnsi="Calibri" w:eastAsia="宋体" w:cs="Calibri"/>
                <w:color w:val="000000" w:themeColor="text1"/>
                <w:sz w:val="21"/>
                <w:szCs w:val="21"/>
                <w:lang w:val="en-US" w:eastAsia="zh-CN"/>
                <w14:textFill>
                  <w14:solidFill>
                    <w14:schemeClr w14:val="tx1"/>
                  </w14:solidFill>
                </w14:textFill>
              </w:rPr>
              <w:t>①</w:t>
            </w:r>
            <w:r>
              <w:rPr>
                <w:rFonts w:hint="eastAsia" w:ascii="Calibri" w:hAnsi="Calibri" w:eastAsia="宋体" w:cs="Calibri"/>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8#、22#、24#、14#风机基混凝土础浇筑旁站，</w:t>
            </w:r>
            <w:r>
              <w:rPr>
                <w:rFonts w:hint="default" w:ascii="Calibri" w:hAnsi="Calibri" w:eastAsia="宋体" w:cs="Calibri"/>
                <w:color w:val="000000" w:themeColor="text1"/>
                <w:sz w:val="21"/>
                <w:szCs w:val="21"/>
                <w:lang w:val="en-US" w:eastAsia="zh-CN"/>
                <w14:textFill>
                  <w14:solidFill>
                    <w14:schemeClr w14:val="tx1"/>
                  </w14:solidFill>
                </w14:textFill>
              </w:rPr>
              <w:t>②</w:t>
            </w:r>
            <w:r>
              <w:rPr>
                <w:rFonts w:hint="eastAsia" w:ascii="Calibri" w:hAnsi="Calibri" w:eastAsia="宋体" w:cs="Calibri"/>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巡视、检查（风机基础平台和道路施工、基础开挖、验槽、钢筋模板）施工等。</w:t>
            </w:r>
            <w:r>
              <w:rPr>
                <w:rFonts w:hint="default" w:ascii="Calibri" w:hAnsi="Calibri" w:eastAsia="宋体" w:cs="Calibri"/>
                <w:color w:val="000000" w:themeColor="text1"/>
                <w:sz w:val="21"/>
                <w:szCs w:val="21"/>
                <w:lang w:val="en-US" w:eastAsia="zh-CN"/>
                <w14:textFill>
                  <w14:solidFill>
                    <w14:schemeClr w14:val="tx1"/>
                  </w14:solidFill>
                </w14:textFill>
              </w:rPr>
              <w:t>③</w:t>
            </w:r>
            <w:r>
              <w:rPr>
                <w:rFonts w:hint="eastAsia" w:ascii="Calibri" w:hAnsi="Calibri" w:eastAsia="宋体" w:cs="Calibri"/>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风机基础二次灌浆、试块制作旁站7台。</w:t>
            </w:r>
          </w:p>
          <w:p>
            <w:pPr>
              <w:numPr>
                <w:ilvl w:val="0"/>
                <w:numId w:val="0"/>
              </w:numPr>
              <w:spacing w:line="360" w:lineRule="auto"/>
              <w:ind w:leftChars="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3升压站一次舱混凝土浇筑旁站一次，巡视、检查（主变油池混凝土浇筑、一次舱接地施工、FC基础开挖、SVG基础钢筋、模板施</w:t>
            </w:r>
            <w:r>
              <w:rPr>
                <w:rFonts w:hint="eastAsia" w:ascii="宋体" w:hAnsi="宋体" w:eastAsia="宋体" w:cs="宋体"/>
                <w:b w:val="0"/>
                <w:bCs w:val="0"/>
                <w:color w:val="000000" w:themeColor="text1"/>
                <w:sz w:val="21"/>
                <w:szCs w:val="21"/>
                <w:lang w:val="en-US" w:eastAsia="zh-CN"/>
                <w14:textFill>
                  <w14:solidFill>
                    <w14:schemeClr w14:val="tx1"/>
                  </w14:solidFill>
                </w14:textFill>
              </w:rPr>
              <w:t>工）等。</w:t>
            </w:r>
          </w:p>
          <w:p>
            <w:pPr>
              <w:numPr>
                <w:ilvl w:val="0"/>
                <w:numId w:val="0"/>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default" w:ascii="Calibri" w:hAnsi="Calibri" w:eastAsia="宋体" w:cs="Calibri"/>
                <w:color w:val="000000" w:themeColor="text1"/>
                <w:sz w:val="21"/>
                <w:szCs w:val="21"/>
                <w:lang w:val="en-US" w:eastAsia="zh-CN"/>
                <w14:textFill>
                  <w14:solidFill>
                    <w14:schemeClr w14:val="tx1"/>
                  </w14:solidFill>
                </w14:textFill>
              </w:rPr>
              <w:t>①</w:t>
            </w:r>
            <w:r>
              <w:rPr>
                <w:rFonts w:hint="eastAsia" w:ascii="Calibri" w:hAnsi="Calibri" w:eastAsia="宋体" w:cs="Calibri"/>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集电线路塔基混凝土浇筑旁站35基，</w:t>
            </w:r>
            <w:r>
              <w:rPr>
                <w:rFonts w:hint="default" w:ascii="Calibri" w:hAnsi="Calibri" w:eastAsia="宋体" w:cs="Calibri"/>
                <w:color w:val="000000" w:themeColor="text1"/>
                <w:sz w:val="21"/>
                <w:szCs w:val="21"/>
                <w:lang w:val="en-US" w:eastAsia="zh-CN"/>
                <w14:textFill>
                  <w14:solidFill>
                    <w14:schemeClr w14:val="tx1"/>
                  </w14:solidFill>
                </w14:textFill>
              </w:rPr>
              <w:t>②</w:t>
            </w:r>
            <w:r>
              <w:rPr>
                <w:rFonts w:hint="eastAsia" w:ascii="Calibri" w:hAnsi="Calibri" w:eastAsia="宋体" w:cs="Calibri"/>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巡视检查集电线路基础开挖、钢筋模板、组塔）等施工。</w:t>
            </w:r>
          </w:p>
        </w:tc>
        <w:tc>
          <w:tcPr>
            <w:tcW w:w="3560" w:type="dxa"/>
            <w:vAlign w:val="center"/>
          </w:tcPr>
          <w:p>
            <w:pPr>
              <w:numPr>
                <w:ilvl w:val="0"/>
                <w:numId w:val="4"/>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督促《监理合同》和施工合同订立；</w:t>
            </w:r>
          </w:p>
          <w:p>
            <w:pPr>
              <w:numPr>
                <w:ilvl w:val="0"/>
                <w:numId w:val="4"/>
              </w:numPr>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正常开展监理工作。</w:t>
            </w:r>
          </w:p>
          <w:p>
            <w:pPr>
              <w:numPr>
                <w:ilvl w:val="0"/>
                <w:numId w:val="4"/>
              </w:numPr>
              <w:spacing w:line="360" w:lineRule="auto"/>
              <w:ind w:left="0" w:leftChars="0"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升压站完成所有设备基础、设备就位、调试并网工作。</w:t>
            </w:r>
          </w:p>
          <w:p>
            <w:pPr>
              <w:numPr>
                <w:ilvl w:val="0"/>
                <w:numId w:val="4"/>
              </w:numPr>
              <w:spacing w:line="360" w:lineRule="auto"/>
              <w:ind w:left="0" w:leftChars="0"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集电线路8月20日25回路必须完成线路带电工作。</w:t>
            </w:r>
          </w:p>
          <w:p>
            <w:pPr>
              <w:numPr>
                <w:ilvl w:val="0"/>
                <w:numId w:val="4"/>
              </w:numPr>
              <w:spacing w:line="360" w:lineRule="auto"/>
              <w:ind w:left="0" w:leftChars="0" w:firstLine="0" w:firstLine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项目计划9月30日首批并网成功；</w:t>
            </w:r>
          </w:p>
          <w:p>
            <w:pPr>
              <w:numPr>
                <w:ilvl w:val="0"/>
                <w:numId w:val="4"/>
              </w:numPr>
              <w:spacing w:line="360" w:lineRule="auto"/>
              <w:ind w:left="0" w:leftChars="0" w:firstLine="0" w:firstLine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12月30日全容量并网。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w:t>
            </w:r>
            <w:r>
              <w:rPr>
                <w:rFonts w:hint="eastAsia" w:ascii="宋体" w:hAnsi="宋体" w:eastAsia="宋体" w:cs="宋体"/>
                <w:color w:val="000000" w:themeColor="text1"/>
                <w:sz w:val="21"/>
                <w:szCs w:val="21"/>
                <w:lang w:val="en-US" w:eastAsia="zh-CN"/>
                <w14:textFill>
                  <w14:solidFill>
                    <w14:schemeClr w14:val="tx1"/>
                  </w14:solidFill>
                </w14:textFill>
              </w:rPr>
              <w:t>材料进场情况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风机基础锚板到场24套、锚栓到场18套；塔材到场24基。</w:t>
            </w:r>
          </w:p>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8月10日计划主变设备进场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设计交付进度</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风机基础图纸出图完成，集电线路2、3、4回出图完成，升压站二次土建、电气、道路图纸未出。</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全部交付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质量体系运作情况</w:t>
            </w:r>
          </w:p>
        </w:tc>
        <w:tc>
          <w:tcPr>
            <w:tcW w:w="3761"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质量体系健全，运行良好</w:t>
            </w:r>
          </w:p>
        </w:tc>
        <w:tc>
          <w:tcPr>
            <w:tcW w:w="3560"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落实质量保证体系，并对运行情况进行</w:t>
            </w:r>
            <w:r>
              <w:rPr>
                <w:rFonts w:hint="eastAsia" w:ascii="宋体" w:hAnsi="宋体" w:eastAsia="宋体" w:cs="宋体"/>
                <w:color w:val="000000" w:themeColor="text1"/>
                <w:sz w:val="21"/>
                <w:szCs w:val="21"/>
                <w:lang w:eastAsia="zh-CN"/>
                <w14:textFill>
                  <w14:solidFill>
                    <w14:schemeClr w14:val="tx1"/>
                  </w14:solidFill>
                </w14:textFill>
              </w:rPr>
              <w:t>跟踪</w:t>
            </w:r>
            <w:r>
              <w:rPr>
                <w:rFonts w:hint="eastAsia" w:ascii="宋体" w:hAnsi="宋体" w:eastAsia="宋体" w:cs="宋体"/>
                <w:color w:val="000000" w:themeColor="text1"/>
                <w:sz w:val="21"/>
                <w:szCs w:val="21"/>
                <w14:textFill>
                  <w14:solidFill>
                    <w14:schemeClr w14:val="tx1"/>
                  </w14:solidFill>
                </w14:textFill>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施工图会审</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集电线路和风机基础施工图会审已完成、升压站部分图纸会审已完成。</w:t>
            </w:r>
          </w:p>
        </w:tc>
        <w:tc>
          <w:tcPr>
            <w:tcW w:w="3560"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完成所有图纸会审工作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设计交底</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升压站、集电线路和风机基础已完成设计交底工作。</w:t>
            </w:r>
          </w:p>
        </w:tc>
        <w:tc>
          <w:tcPr>
            <w:tcW w:w="3560"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监督施工单位做好施工设计交底工作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方案审查</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升压站、集电线路，风机基础部分方案已审查完成。</w:t>
            </w:r>
          </w:p>
        </w:tc>
        <w:tc>
          <w:tcPr>
            <w:tcW w:w="3560"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监督施工单位做好各项方案落实。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技术交底</w:t>
            </w:r>
          </w:p>
        </w:tc>
        <w:tc>
          <w:tcPr>
            <w:tcW w:w="3761"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已完成各施工技术交底。</w:t>
            </w:r>
          </w:p>
        </w:tc>
        <w:tc>
          <w:tcPr>
            <w:tcW w:w="3560"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监督做好各项技术交底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设计变更</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集电线路</w:t>
            </w:r>
            <w:r>
              <w:rPr>
                <w:rFonts w:hint="eastAsia" w:ascii="宋体" w:hAnsi="宋体" w:eastAsia="宋体" w:cs="宋体"/>
                <w:color w:val="000000" w:themeColor="text1"/>
                <w:sz w:val="21"/>
                <w:szCs w:val="21"/>
                <w:lang w:val="en-US" w:eastAsia="zh-CN"/>
                <w14:textFill>
                  <w14:solidFill>
                    <w14:schemeClr w14:val="tx1"/>
                  </w14:solidFill>
                </w14:textFill>
              </w:rPr>
              <w:t>2、3、4回已完成设计变更，1回下月出图。</w:t>
            </w:r>
          </w:p>
        </w:tc>
        <w:tc>
          <w:tcPr>
            <w:tcW w:w="3560"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完成升压站、集电线路剩余未完设计变更。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p>
        </w:tc>
        <w:tc>
          <w:tcPr>
            <w:tcW w:w="1564" w:type="dxa"/>
            <w:vAlign w:val="center"/>
          </w:tcPr>
          <w:p>
            <w:pPr>
              <w:tabs>
                <w:tab w:val="left" w:pos="990"/>
              </w:tabs>
              <w:spacing w:line="360" w:lineRule="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r>
              <w:rPr>
                <w:rFonts w:hint="eastAsia" w:ascii="宋体" w:hAnsi="宋体" w:eastAsia="宋体" w:cs="宋体"/>
                <w:color w:val="000000" w:themeColor="text1"/>
                <w:sz w:val="21"/>
                <w:szCs w:val="21"/>
                <w:lang w:val="en-US" w:eastAsia="zh-CN"/>
                <w14:textFill>
                  <w14:solidFill>
                    <w14:schemeClr w14:val="tx1"/>
                  </w14:solidFill>
                </w14:textFill>
              </w:rPr>
              <w:t>月活动开展情况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每周召安全例会，并形成会议纪要，现场安全文明施工标识标牌落实到位，施工人员能够正确佩戴安全帽，服装穿戴整齐，各项安全制度齐全。</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以《安全法》的思想为动力、积极开展安全文明施工教育，监督做好基坑四周的临边防护，防止边坡塌方等措施，监督做好疫情防控工作。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培训情况</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安全交底情况</w:t>
            </w:r>
          </w:p>
        </w:tc>
        <w:tc>
          <w:tcPr>
            <w:tcW w:w="3761"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督促施工单位</w:t>
            </w:r>
            <w:r>
              <w:rPr>
                <w:rFonts w:hint="eastAsia" w:ascii="宋体" w:hAnsi="宋体" w:eastAsia="宋体" w:cs="宋体"/>
                <w:color w:val="000000" w:themeColor="text1"/>
                <w:sz w:val="21"/>
                <w:szCs w:val="21"/>
                <w:lang w:eastAsia="zh-CN"/>
                <w14:textFill>
                  <w14:solidFill>
                    <w14:schemeClr w14:val="tx1"/>
                  </w14:solidFill>
                </w14:textFill>
              </w:rPr>
              <w:t>做好新员工到场安全技术培训，施工前</w:t>
            </w:r>
            <w:r>
              <w:rPr>
                <w:rFonts w:hint="eastAsia" w:ascii="宋体" w:hAnsi="宋体" w:eastAsia="宋体" w:cs="宋体"/>
                <w:color w:val="000000" w:themeColor="text1"/>
                <w:sz w:val="21"/>
                <w:szCs w:val="21"/>
                <w14:textFill>
                  <w14:solidFill>
                    <w14:schemeClr w14:val="tx1"/>
                  </w14:solidFill>
                </w14:textFill>
              </w:rPr>
              <w:t>进行班前交底</w:t>
            </w:r>
            <w:r>
              <w:rPr>
                <w:rFonts w:hint="eastAsia" w:ascii="宋体" w:hAnsi="宋体" w:eastAsia="宋体" w:cs="宋体"/>
                <w:color w:val="000000" w:themeColor="text1"/>
                <w:sz w:val="21"/>
                <w:szCs w:val="21"/>
                <w:lang w:eastAsia="zh-CN"/>
                <w14:textFill>
                  <w14:solidFill>
                    <w14:schemeClr w14:val="tx1"/>
                  </w14:solidFill>
                </w14:textFill>
              </w:rPr>
              <w:t>，准确识别危险源，没有安全事故发生。</w:t>
            </w:r>
          </w:p>
        </w:tc>
        <w:tc>
          <w:tcPr>
            <w:tcW w:w="3560"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继续督促施工单位进行班前交底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安全措施落实情况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各施工区域五图一牌、防护栏杆安装到位，临边处拉警示线。</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加强防火、防高处坠落等措施、杜绝事故发生。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安全文明施工情况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现场安全、文明</w:t>
            </w:r>
            <w:r>
              <w:rPr>
                <w:rFonts w:hint="eastAsia" w:ascii="宋体" w:hAnsi="宋体" w:eastAsia="宋体" w:cs="宋体"/>
                <w:color w:val="000000" w:themeColor="text1"/>
                <w:sz w:val="21"/>
                <w:szCs w:val="21"/>
                <w:lang w:val="en-US" w:eastAsia="zh-CN"/>
                <w14:textFill>
                  <w14:solidFill>
                    <w14:schemeClr w14:val="tx1"/>
                  </w14:solidFill>
                </w14:textFill>
              </w:rPr>
              <w:t>施工已形成，但仍然有少部分管理和施工人员穿着随意，不戴安全帽，现场进行批评教育都已整改。</w:t>
            </w:r>
          </w:p>
        </w:tc>
        <w:tc>
          <w:tcPr>
            <w:tcW w:w="3560"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加强现场安全管理力度</w:t>
            </w:r>
            <w:r>
              <w:rPr>
                <w:rFonts w:hint="eastAsia" w:ascii="宋体" w:hAnsi="宋体" w:eastAsia="宋体" w:cs="宋体"/>
                <w:color w:val="000000" w:themeColor="text1"/>
                <w:sz w:val="21"/>
                <w:szCs w:val="21"/>
                <w:lang w:eastAsia="zh-CN"/>
                <w14:textFill>
                  <w14:solidFill>
                    <w14:schemeClr w14:val="tx1"/>
                  </w14:solidFill>
                </w14:textFill>
              </w:rPr>
              <w:t>，落实安全文明施工。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81"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主要工序质量</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每道工序都已进行三级自检，监理到场验收合格后进行下道工序。</w:t>
            </w:r>
          </w:p>
        </w:tc>
        <w:tc>
          <w:tcPr>
            <w:tcW w:w="3560"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督促做好三级自检和工序报验，把好质量关。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w:t>
            </w:r>
            <w:r>
              <w:rPr>
                <w:rFonts w:hint="eastAsia" w:ascii="宋体" w:hAnsi="宋体" w:eastAsia="宋体" w:cs="宋体"/>
                <w:color w:val="000000" w:themeColor="text1"/>
                <w:sz w:val="21"/>
                <w:szCs w:val="21"/>
                <w:lang w:val="en-US" w:eastAsia="zh-CN"/>
                <w14:textFill>
                  <w14:solidFill>
                    <w14:schemeClr w14:val="tx1"/>
                  </w14:solidFill>
                </w14:textFill>
              </w:rPr>
              <w:t>钢筋</w:t>
            </w:r>
            <w:r>
              <w:rPr>
                <w:rFonts w:hint="eastAsia" w:ascii="宋体" w:hAnsi="宋体" w:eastAsia="宋体" w:cs="宋体"/>
                <w:color w:val="000000" w:themeColor="text1"/>
                <w:sz w:val="21"/>
                <w:szCs w:val="21"/>
                <w14:textFill>
                  <w14:solidFill>
                    <w14:schemeClr w14:val="tx1"/>
                  </w14:solidFill>
                </w14:textFill>
              </w:rPr>
              <w:t>原材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风机锚栓、高强度螺母见证取样送检。</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本月对风机高强度锚栓、螺母进行见证取样送检，钢筋每60T送检一个批次见证取样，风机基础、塔基基础，升压站设备基础混凝土浇筑试块都按要求进行见证送检。</w:t>
            </w:r>
          </w:p>
        </w:tc>
        <w:tc>
          <w:tcPr>
            <w:tcW w:w="3560"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继续做好材料到场报验、见证取样、送检工作，把好材料源头质量关。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构（配）件质量</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把控好进场材料质量关</w:t>
            </w:r>
            <w:r>
              <w:rPr>
                <w:rFonts w:hint="eastAsia" w:ascii="宋体" w:hAnsi="宋体" w:eastAsia="宋体" w:cs="宋体"/>
                <w:color w:val="000000" w:themeColor="text1"/>
                <w:sz w:val="21"/>
                <w:szCs w:val="21"/>
                <w:lang w:eastAsia="zh-CN"/>
                <w14:textFill>
                  <w14:solidFill>
                    <w14:schemeClr w14:val="tx1"/>
                  </w14:solidFill>
                </w14:textFill>
              </w:rPr>
              <w:t>，接地扁钢、塔材规格、型号、镀锌层满足设计要求。</w:t>
            </w:r>
          </w:p>
        </w:tc>
        <w:tc>
          <w:tcPr>
            <w:tcW w:w="3560"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严抓构配件质量问题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设备质量</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目前未进场</w:t>
            </w:r>
          </w:p>
        </w:tc>
        <w:tc>
          <w:tcPr>
            <w:tcW w:w="3560"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质量验评情况</w:t>
            </w:r>
          </w:p>
        </w:tc>
        <w:tc>
          <w:tcPr>
            <w:tcW w:w="3761"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能够按各施工单位验评划分进行检查、验收。</w:t>
            </w:r>
          </w:p>
        </w:tc>
        <w:tc>
          <w:tcPr>
            <w:tcW w:w="3560"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做好质量验评工作</w:t>
            </w:r>
          </w:p>
        </w:tc>
      </w:tr>
    </w:tbl>
    <w:p>
      <w:pPr>
        <w:pStyle w:val="9"/>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工程存在的问题和建议</w:t>
      </w:r>
    </w:p>
    <w:p>
      <w:pPr>
        <w:pStyle w:val="9"/>
        <w:widowControl w:val="0"/>
        <w:numPr>
          <w:ilvl w:val="0"/>
          <w:numId w:val="5"/>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目前征地工作难度较大，与地方政府和村民协调有一定难度，资源投入仍然需要加大力度，相关并网手续没有落实到位，监理项目部再三要求总包单加大各方协调力度，各负其责，利用一切可利用资源，尽快完成征地、外部手续工作。2、《监理合同》还没有订立完成，监理工作难以开展，目前监理工作量较大，监理人员由于没有合同难以安排工作。合同问题已经多次与赞皇蓝源风力发电有限公司现场项目经理进行反馈。但至今没有订立。</w:t>
      </w:r>
    </w:p>
    <w:p>
      <w:pPr>
        <w:pStyle w:val="9"/>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下月监理工作重点</w:t>
      </w:r>
    </w:p>
    <w:p>
      <w:pPr>
        <w:pStyle w:val="9"/>
        <w:widowControl w:val="0"/>
        <w:numPr>
          <w:ilvl w:val="0"/>
          <w:numId w:val="6"/>
        </w:numPr>
        <w:spacing w:before="156" w:beforeLines="50" w:after="156" w:afterLines="50" w:line="360" w:lineRule="auto"/>
        <w:ind w:lef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督促施工单位完成9、30并网工作，及时跟踪进度计划的落实和纠偏；</w:t>
      </w:r>
    </w:p>
    <w:p>
      <w:pPr>
        <w:pStyle w:val="9"/>
        <w:widowControl w:val="0"/>
        <w:numPr>
          <w:ilvl w:val="0"/>
          <w:numId w:val="6"/>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督促施工单位，尽快完善资料报审，与施工进度同步；</w:t>
      </w:r>
    </w:p>
    <w:p>
      <w:pPr>
        <w:pStyle w:val="9"/>
        <w:widowControl w:val="0"/>
        <w:numPr>
          <w:ilvl w:val="0"/>
          <w:numId w:val="6"/>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加强对施工单位对施工现场规范化管理，严格把好材料报验关，不合格材料坚决要求退回；督促施工单位做好三级自检制度落实，发现问题必须整改到位后才能下道工序施工；</w:t>
      </w:r>
    </w:p>
    <w:p>
      <w:pPr>
        <w:pStyle w:val="9"/>
        <w:widowControl w:val="0"/>
        <w:numPr>
          <w:ilvl w:val="0"/>
          <w:numId w:val="6"/>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加强项目监理人员自身对各种规范、制度的学习和监理技术水平的提高。</w:t>
      </w:r>
    </w:p>
    <w:p>
      <w:pPr>
        <w:pStyle w:val="9"/>
        <w:widowControl w:val="0"/>
        <w:numPr>
          <w:ilvl w:val="0"/>
          <w:numId w:val="6"/>
        </w:numPr>
        <w:spacing w:before="156" w:beforeLines="50" w:after="156" w:afterLines="50" w:line="240" w:lineRule="auto"/>
        <w:ind w:leftChars="0"/>
        <w:jc w:val="left"/>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主持召开好《工地例会》和《安全例会》会议工作，工程上的问题能够在会上能够得到落实和处理。</w:t>
      </w:r>
    </w:p>
    <w:p>
      <w:pPr>
        <w:pStyle w:val="9"/>
        <w:widowControl w:val="0"/>
        <w:numPr>
          <w:ilvl w:val="0"/>
          <w:numId w:val="0"/>
        </w:numPr>
        <w:spacing w:before="156" w:beforeLines="50" w:after="156" w:afterLines="50" w:line="240" w:lineRule="auto"/>
        <w:jc w:val="left"/>
        <w:rPr>
          <w:rFonts w:hint="eastAsia" w:ascii="宋体" w:hAnsi="宋体" w:eastAsia="宋体" w:cs="宋体"/>
          <w:b/>
          <w:bCs/>
          <w:color w:val="000000" w:themeColor="text1"/>
          <w:sz w:val="24"/>
          <w:szCs w:val="24"/>
          <w:lang w:val="en-US" w:eastAsia="zh-CN"/>
          <w14:textFill>
            <w14:solidFill>
              <w14:schemeClr w14:val="tx1"/>
            </w14:solidFill>
          </w14:textFill>
        </w:rPr>
      </w:pPr>
    </w:p>
    <w:p>
      <w:pPr>
        <w:pStyle w:val="9"/>
        <w:widowControl w:val="0"/>
        <w:numPr>
          <w:ilvl w:val="0"/>
          <w:numId w:val="0"/>
        </w:numPr>
        <w:spacing w:before="156" w:beforeLines="50" w:after="156" w:afterLines="50" w:line="240" w:lineRule="auto"/>
        <w:jc w:val="left"/>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四、现场图片</w:t>
      </w:r>
      <w:r>
        <w:rPr>
          <w:rFonts w:hint="eastAsia"/>
          <w:color w:val="000000" w:themeColor="text1"/>
          <w:sz w:val="24"/>
          <w:szCs w:val="24"/>
          <w:lang w:val="en-US" w:eastAsia="zh-CN"/>
          <w14:textFill>
            <w14:solidFill>
              <w14:schemeClr w14:val="tx1"/>
            </w14:solidFill>
          </w14:textFill>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6405" cy="2243455"/>
                  <wp:effectExtent l="0" t="0" r="4445" b="4445"/>
                  <wp:docPr id="3" name="图片 3" descr="15例会202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例会20220823"/>
                          <pic:cNvPicPr>
                            <a:picLocks noChangeAspect="1"/>
                          </pic:cNvPicPr>
                        </pic:nvPicPr>
                        <pic:blipFill>
                          <a:blip r:embed="rId7"/>
                          <a:stretch>
                            <a:fillRect/>
                          </a:stretch>
                        </pic:blipFill>
                        <pic:spPr>
                          <a:xfrm>
                            <a:off x="0" y="0"/>
                            <a:ext cx="2986405" cy="2243455"/>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5875" b="16510"/>
                  <wp:docPr id="13" name="图片 13" descr="C:/DOCUME~1/ADMINI~1/LOCALS~1/Temp/picturecompress_202208290752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DOCUME~1/ADMINI~1/LOCALS~1/Temp/picturecompress_20220829075214/output_1.jpgoutput_1"/>
                          <pic:cNvPicPr>
                            <a:picLocks noChangeAspect="1"/>
                          </pic:cNvPicPr>
                        </pic:nvPicPr>
                        <pic:blipFill>
                          <a:blip r:embed="rId8"/>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工地例会</w:t>
            </w:r>
          </w:p>
        </w:tc>
        <w:tc>
          <w:tcPr>
            <w:tcW w:w="4928" w:type="dxa"/>
          </w:tcPr>
          <w:p>
            <w:pPr>
              <w:pStyle w:val="9"/>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升压站</w:t>
            </w:r>
            <w:r>
              <w:rPr>
                <w:rFonts w:hint="eastAsia"/>
                <w:b w:val="0"/>
                <w:bCs w:val="0"/>
                <w:color w:val="000000" w:themeColor="text1"/>
                <w:sz w:val="24"/>
                <w:szCs w:val="24"/>
                <w:vertAlign w:val="baseline"/>
                <w:lang w:val="en-US" w:eastAsia="zh-CN"/>
                <w14:textFill>
                  <w14:solidFill>
                    <w14:schemeClr w14:val="tx1"/>
                  </w14:solidFill>
                </w14:textFill>
              </w:rPr>
              <w:t>SVG基础钢筋绑扎检查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7040" cy="2240280"/>
                  <wp:effectExtent l="0" t="0" r="3810" b="7620"/>
                  <wp:docPr id="6" name="图片 6" descr="mmexport166166760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661667607390"/>
                          <pic:cNvPicPr>
                            <a:picLocks noChangeAspect="1"/>
                          </pic:cNvPicPr>
                        </pic:nvPicPr>
                        <pic:blipFill>
                          <a:blip r:embed="rId9"/>
                          <a:stretch>
                            <a:fillRect/>
                          </a:stretch>
                        </pic:blipFill>
                        <pic:spPr>
                          <a:xfrm>
                            <a:off x="0" y="0"/>
                            <a:ext cx="2987040" cy="2240280"/>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5875" b="16510"/>
                  <wp:docPr id="7" name="图片 7" descr="C:/DOCUME~1/ADMINI~1/LOCALS~1/Temp/picturecompress_202208290742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1/ADMINI~1/LOCALS~1/Temp/picturecompress_20220829074249/output_1.jpgoutput_1"/>
                          <pic:cNvPicPr>
                            <a:picLocks noChangeAspect="1"/>
                          </pic:cNvPicPr>
                        </pic:nvPicPr>
                        <pic:blipFill>
                          <a:blip r:embed="rId10"/>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风机基础钢筋见证取样送检</w:t>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塔材镀锌层检查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6405" cy="2243455"/>
                  <wp:effectExtent l="0" t="0" r="4445" b="4445"/>
                  <wp:docPr id="8" name="图片 8" descr="一标段试块送检202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标段试块送检20220826"/>
                          <pic:cNvPicPr>
                            <a:picLocks noChangeAspect="1"/>
                          </pic:cNvPicPr>
                        </pic:nvPicPr>
                        <pic:blipFill>
                          <a:blip r:embed="rId11"/>
                          <a:stretch>
                            <a:fillRect/>
                          </a:stretch>
                        </pic:blipFill>
                        <pic:spPr>
                          <a:xfrm>
                            <a:off x="0" y="0"/>
                            <a:ext cx="2986405" cy="2243455"/>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635" b="4445"/>
                  <wp:docPr id="10" name="图片 10" descr="24二次灌浆202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二次灌浆20220820"/>
                          <pic:cNvPicPr>
                            <a:picLocks noChangeAspect="1"/>
                          </pic:cNvPicPr>
                        </pic:nvPicPr>
                        <pic:blipFill>
                          <a:blip r:embed="rId12"/>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风机基础试块送检见证</w:t>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风机基础二次灌浆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7040" cy="2240280"/>
                  <wp:effectExtent l="0" t="0" r="3810" b="7620"/>
                  <wp:docPr id="11" name="图片 11" descr="2N11组塔检查202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N11组塔检查20220826"/>
                          <pic:cNvPicPr>
                            <a:picLocks noChangeAspect="1"/>
                          </pic:cNvPicPr>
                        </pic:nvPicPr>
                        <pic:blipFill>
                          <a:blip r:embed="rId13"/>
                          <a:stretch>
                            <a:fillRect/>
                          </a:stretch>
                        </pic:blipFill>
                        <pic:spPr>
                          <a:xfrm>
                            <a:off x="0" y="0"/>
                            <a:ext cx="2987040" cy="2240280"/>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5875" b="16510"/>
                  <wp:docPr id="12" name="图片 12" descr="C:/DOCUME~1/ADMINI~1/LOCALS~1/Temp/picturecompress_202208290746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OCUME~1/ADMINI~1/LOCALS~1/Temp/picturecompress_20220829074629/output_1.jpgoutput_1"/>
                          <pic:cNvPicPr>
                            <a:picLocks noChangeAspect="1"/>
                          </pic:cNvPicPr>
                        </pic:nvPicPr>
                        <pic:blipFill>
                          <a:blip r:embed="rId14"/>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集电线路组塔检查</w:t>
            </w:r>
          </w:p>
        </w:tc>
        <w:tc>
          <w:tcPr>
            <w:tcW w:w="4928" w:type="dxa"/>
          </w:tcPr>
          <w:p>
            <w:pPr>
              <w:pStyle w:val="9"/>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风机基础验槽（检查标高、坐标）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635" b="4445"/>
                  <wp:docPr id="1" name="图片 1" descr="24二次旁站202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二次旁站20220820"/>
                          <pic:cNvPicPr>
                            <a:picLocks noChangeAspect="1"/>
                          </pic:cNvPicPr>
                        </pic:nvPicPr>
                        <pic:blipFill>
                          <a:blip r:embed="rId15"/>
                          <a:stretch>
                            <a:fillRect/>
                          </a:stretch>
                        </pic:blipFill>
                        <pic:spPr>
                          <a:xfrm>
                            <a:off x="0" y="0"/>
                            <a:ext cx="2990215" cy="2243455"/>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7040" cy="2240280"/>
                  <wp:effectExtent l="0" t="0" r="3810" b="7620"/>
                  <wp:docPr id="15" name="图片 15" descr="mmexport166173424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661734242209"/>
                          <pic:cNvPicPr>
                            <a:picLocks noChangeAspect="1"/>
                          </pic:cNvPicPr>
                        </pic:nvPicPr>
                        <pic:blipFill>
                          <a:blip r:embed="rId16"/>
                          <a:stretch>
                            <a:fillRect/>
                          </a:stretch>
                        </pic:blipFill>
                        <pic:spPr>
                          <a:xfrm>
                            <a:off x="0" y="0"/>
                            <a:ext cx="2987040" cy="2240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风机基础二次灌浆旁站</w:t>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集电线路塔基标高复测检查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5875" b="16510"/>
                  <wp:docPr id="2" name="图片 2" descr="C:/DOCUME~1/ADMINI~1/LOCALS~1/Temp/picturecompress_202208290904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1/ADMINI~1/LOCALS~1/Temp/picturecompress_20220829090429/output_1.jpgoutput_1"/>
                          <pic:cNvPicPr>
                            <a:picLocks noChangeAspect="1"/>
                          </pic:cNvPicPr>
                        </pic:nvPicPr>
                        <pic:blipFill>
                          <a:blip r:embed="rId17"/>
                          <a:stretch>
                            <a:fillRect/>
                          </a:stretch>
                        </pic:blipFill>
                        <pic:spPr>
                          <a:xfrm>
                            <a:off x="0" y="0"/>
                            <a:ext cx="2974975" cy="2231390"/>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5875" b="16510"/>
                  <wp:docPr id="14" name="图片 14" descr="C:/DOCUME~1/ADMINI~1/LOCALS~1/Temp/picturecompress_202208290844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OCUME~1/ADMINI~1/LOCALS~1/Temp/picturecompress_20220829084459/output_1.jpgoutput_1"/>
                          <pic:cNvPicPr>
                            <a:picLocks noChangeAspect="1"/>
                          </pic:cNvPicPr>
                        </pic:nvPicPr>
                        <pic:blipFill>
                          <a:blip r:embed="rId18"/>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风机基础钢筋到场检查</w:t>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风机接地电阻检测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6405" cy="2243455"/>
                  <wp:effectExtent l="0" t="0" r="4445" b="4445"/>
                  <wp:docPr id="20" name="图片 20" descr="mmexport166173418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661734187240"/>
                          <pic:cNvPicPr>
                            <a:picLocks noChangeAspect="1"/>
                          </pic:cNvPicPr>
                        </pic:nvPicPr>
                        <pic:blipFill>
                          <a:blip r:embed="rId19"/>
                          <a:stretch>
                            <a:fillRect/>
                          </a:stretch>
                        </pic:blipFill>
                        <pic:spPr>
                          <a:xfrm>
                            <a:off x="0" y="0"/>
                            <a:ext cx="2986405" cy="2243455"/>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7040" cy="2240280"/>
                  <wp:effectExtent l="0" t="0" r="3810" b="7620"/>
                  <wp:docPr id="17" name="图片 17" descr="mmexport16617343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61734300394"/>
                          <pic:cNvPicPr>
                            <a:picLocks noChangeAspect="1"/>
                          </pic:cNvPicPr>
                        </pic:nvPicPr>
                        <pic:blipFill>
                          <a:blip r:embed="rId20"/>
                          <a:stretch>
                            <a:fillRect/>
                          </a:stretch>
                        </pic:blipFill>
                        <pic:spPr>
                          <a:xfrm>
                            <a:off x="0" y="0"/>
                            <a:ext cx="2987040" cy="2240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一次舱接地检查</w:t>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塔基混凝土浇筑旁站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6405" cy="2243455"/>
                  <wp:effectExtent l="0" t="0" r="4445" b="4445"/>
                  <wp:docPr id="18" name="图片 18" descr="mmexport166173428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661734281902"/>
                          <pic:cNvPicPr>
                            <a:picLocks noChangeAspect="1"/>
                          </pic:cNvPicPr>
                        </pic:nvPicPr>
                        <pic:blipFill>
                          <a:blip r:embed="rId21"/>
                          <a:stretch>
                            <a:fillRect/>
                          </a:stretch>
                        </pic:blipFill>
                        <pic:spPr>
                          <a:xfrm>
                            <a:off x="0" y="0"/>
                            <a:ext cx="2986405" cy="2243455"/>
                          </a:xfrm>
                          <a:prstGeom prst="rect">
                            <a:avLst/>
                          </a:prstGeom>
                        </pic:spPr>
                      </pic:pic>
                    </a:graphicData>
                  </a:graphic>
                </wp:inline>
              </w:drawing>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635" b="4445"/>
                  <wp:docPr id="19" name="图片 19" descr="mmexport166173422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661734223593"/>
                          <pic:cNvPicPr>
                            <a:picLocks noChangeAspect="1"/>
                          </pic:cNvPicPr>
                        </pic:nvPicPr>
                        <pic:blipFill>
                          <a:blip r:embed="rId22"/>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升压站一次舱标高复测</w:t>
            </w:r>
          </w:p>
        </w:tc>
        <w:tc>
          <w:tcPr>
            <w:tcW w:w="4928" w:type="dxa"/>
          </w:tcPr>
          <w:p>
            <w:pPr>
              <w:pStyle w:val="9"/>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t>风机基础锚栓紧固检查</w:t>
            </w:r>
          </w:p>
        </w:tc>
      </w:tr>
    </w:tbl>
    <w:p>
      <w:pPr>
        <w:pStyle w:val="9"/>
        <w:widowControl w:val="0"/>
        <w:numPr>
          <w:ilvl w:val="0"/>
          <w:numId w:val="0"/>
        </w:numPr>
        <w:spacing w:before="156" w:beforeLines="50" w:after="156" w:afterLines="50" w:line="240" w:lineRule="auto"/>
        <w:ind w:leftChars="0"/>
        <w:jc w:val="left"/>
        <w:rPr>
          <w:rFonts w:hint="eastAsia" w:eastAsiaTheme="minorEastAsia"/>
          <w:b w:val="0"/>
          <w:bCs w:val="0"/>
          <w:color w:val="000000" w:themeColor="text1"/>
          <w:sz w:val="24"/>
          <w:szCs w:val="24"/>
          <w:lang w:eastAsia="zh-CN"/>
          <w14:textFill>
            <w14:solidFill>
              <w14:schemeClr w14:val="tx1"/>
            </w14:solidFill>
          </w14:textFill>
        </w:rPr>
      </w:pPr>
    </w:p>
    <w:p>
      <w:pPr>
        <w:pStyle w:val="2"/>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2"/>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w:t>
      </w:r>
    </w:p>
    <w:p>
      <w:pPr>
        <w:pStyle w:val="2"/>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2"/>
        <w:spacing w:before="156" w:after="120"/>
        <w:jc w:val="center"/>
        <w:rPr>
          <w:b w:val="0"/>
          <w:bCs w:val="0"/>
          <w:sz w:val="24"/>
          <w:szCs w:val="24"/>
          <w:lang w:val="en-US"/>
        </w:rPr>
      </w:pPr>
      <w:r>
        <w:rPr>
          <w:rFonts w:hint="eastAsia" w:ascii="宋体" w:hAnsi="宋体" w:eastAsia="宋体" w:cs="宋体"/>
          <w:b w:val="0"/>
          <w:bCs w:val="0"/>
          <w:i w:val="0"/>
          <w:iCs w:val="0"/>
          <w:sz w:val="24"/>
          <w:szCs w:val="24"/>
          <w:u w:val="none"/>
          <w:lang w:val="en-US" w:eastAsia="zh-CN"/>
        </w:rPr>
        <w:t xml:space="preserve"> 常州正衡电力工程监理有限公司赞皇40万千瓦一期20万千瓦风电项目 （本期10万千瓦）</w:t>
      </w:r>
    </w:p>
    <w:p>
      <w:pPr>
        <w:spacing w:before="312" w:beforeLines="100" w:after="468" w:afterLines="150" w:line="240" w:lineRule="auto"/>
        <w:jc w:val="center"/>
        <w:rPr>
          <w:rFonts w:hint="eastAsia" w:asciiTheme="minorEastAsia" w:hAnsiTheme="minorEastAsia" w:cstheme="minorEastAsia"/>
          <w:b w:val="0"/>
          <w:bCs w:val="0"/>
          <w:i w:val="0"/>
          <w:iCs w:val="0"/>
          <w:sz w:val="24"/>
          <w:szCs w:val="24"/>
          <w:u w:val="none"/>
          <w:lang w:val="en-US" w:eastAsia="zh-CN"/>
        </w:rPr>
      </w:pPr>
      <w:r>
        <w:rPr>
          <w:rFonts w:hint="eastAsia" w:asciiTheme="minorEastAsia" w:hAnsiTheme="minorEastAsia" w:eastAsiaTheme="minorEastAsia" w:cstheme="minorEastAsia"/>
          <w:b w:val="0"/>
          <w:bCs w:val="0"/>
          <w:i w:val="0"/>
          <w:iCs w:val="0"/>
          <w:sz w:val="24"/>
          <w:szCs w:val="24"/>
          <w:u w:val="none"/>
          <w:lang w:val="en-US" w:eastAsia="zh-CN"/>
        </w:rPr>
        <w:t>监理部</w:t>
      </w:r>
      <w:r>
        <w:rPr>
          <w:rFonts w:hint="eastAsia" w:asciiTheme="minorEastAsia" w:hAnsiTheme="minorEastAsia" w:cstheme="minorEastAsia"/>
          <w:b w:val="0"/>
          <w:bCs w:val="0"/>
          <w:i w:val="0"/>
          <w:iCs w:val="0"/>
          <w:sz w:val="24"/>
          <w:szCs w:val="24"/>
          <w:u w:val="none"/>
          <w:lang w:val="en-US" w:eastAsia="zh-CN"/>
        </w:rPr>
        <w:t xml:space="preserve">  </w:t>
      </w:r>
    </w:p>
    <w:p>
      <w:pPr>
        <w:spacing w:before="312" w:beforeLines="100" w:after="468" w:afterLines="150" w:line="240" w:lineRule="auto"/>
        <w:jc w:val="center"/>
        <w:rPr>
          <w:rFonts w:hint="eastAsia" w:ascii="宋体" w:hAnsi="宋体" w:eastAsia="宋体" w:cs="宋体"/>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w:t>
      </w:r>
      <w:r>
        <w:rPr>
          <w:rFonts w:hint="eastAsia"/>
          <w:color w:val="000000" w:themeColor="text1"/>
          <w:sz w:val="28"/>
          <w:szCs w:val="28"/>
          <w14:textFill>
            <w14:solidFill>
              <w14:schemeClr w14:val="tx1"/>
            </w14:solidFill>
          </w14:textFill>
        </w:rPr>
        <w:t>20</w:t>
      </w:r>
      <w:r>
        <w:rPr>
          <w:rFonts w:hint="eastAsia"/>
          <w:color w:val="000000" w:themeColor="text1"/>
          <w:sz w:val="28"/>
          <w:szCs w:val="28"/>
          <w:lang w:val="en-US" w:eastAsia="zh-CN"/>
          <w14:textFill>
            <w14:solidFill>
              <w14:schemeClr w14:val="tx1"/>
            </w14:solidFill>
          </w14:textFill>
        </w:rPr>
        <w:t>22</w:t>
      </w:r>
      <w:r>
        <w:rPr>
          <w:rFonts w:hint="eastAsia"/>
          <w:color w:val="000000" w:themeColor="text1"/>
          <w:sz w:val="28"/>
          <w:szCs w:val="28"/>
          <w14:textFill>
            <w14:solidFill>
              <w14:schemeClr w14:val="tx1"/>
            </w14:solidFill>
          </w14:textFill>
        </w:rPr>
        <w:t>年</w:t>
      </w:r>
      <w:r>
        <w:rPr>
          <w:rFonts w:hint="eastAsia"/>
          <w:color w:val="000000" w:themeColor="text1"/>
          <w:sz w:val="28"/>
          <w:szCs w:val="28"/>
          <w:lang w:val="en-US" w:eastAsia="zh-CN"/>
          <w14:textFill>
            <w14:solidFill>
              <w14:schemeClr w14:val="tx1"/>
            </w14:solidFill>
          </w14:textFill>
        </w:rPr>
        <w:t>8</w:t>
      </w:r>
      <w:r>
        <w:rPr>
          <w:rFonts w:hint="eastAsia"/>
          <w:color w:val="000000" w:themeColor="text1"/>
          <w:sz w:val="28"/>
          <w:szCs w:val="28"/>
          <w14:textFill>
            <w14:solidFill>
              <w14:schemeClr w14:val="tx1"/>
            </w14:solidFill>
          </w14:textFill>
        </w:rPr>
        <w:t>月</w:t>
      </w:r>
      <w:r>
        <w:rPr>
          <w:rFonts w:hint="eastAsia"/>
          <w:color w:val="000000" w:themeColor="text1"/>
          <w:sz w:val="28"/>
          <w:szCs w:val="28"/>
          <w:lang w:val="en-US" w:eastAsia="zh-CN"/>
          <w14:textFill>
            <w14:solidFill>
              <w14:schemeClr w14:val="tx1"/>
            </w14:solidFill>
          </w14:textFill>
        </w:rPr>
        <w:t>31日</w:t>
      </w:r>
    </w:p>
    <w:sectPr>
      <w:headerReference r:id="rId4" w:type="first"/>
      <w:headerReference r:id="rId3" w:type="default"/>
      <w:footerReference r:id="rId5" w:type="default"/>
      <w:pgSz w:w="11906" w:h="16838"/>
      <w:pgMar w:top="1134" w:right="850" w:bottom="1134"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4"/>
          <w:jc w:val="center"/>
        </w:pPr>
        <w:r>
          <w:fldChar w:fldCharType="begin"/>
        </w:r>
        <w:r>
          <w:instrText xml:space="preserve">PAGE   \* MERGEFORMAT</w:instrText>
        </w:r>
        <w:r>
          <w:fldChar w:fldCharType="separate"/>
        </w:r>
        <w:r>
          <w:rPr>
            <w:lang w:val="zh-CN"/>
          </w:rPr>
          <w:t>4</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ind w:firstLine="1680" w:firstLineChars="800"/>
      <w:jc w:val="both"/>
      <w:rPr>
        <w:rFonts w:hint="default"/>
        <w:lang w:val="en-US"/>
      </w:rPr>
    </w:pPr>
    <w:r>
      <w:rPr>
        <w:rFonts w:hint="eastAsia" w:ascii="微软雅黑" w:hAnsi="微软雅黑" w:eastAsia="微软雅黑" w:cs="微软雅黑"/>
        <w:b w:val="0"/>
        <w:bCs w:val="0"/>
        <w:i w:val="0"/>
        <w:iCs w:val="0"/>
        <w:sz w:val="21"/>
        <w:szCs w:val="21"/>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jc w:val="center"/>
      <w:rPr>
        <w:rFonts w:hint="default"/>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ascii="微软雅黑" w:hAnsi="微软雅黑" w:eastAsia="微软雅黑" w:cs="微软雅黑"/>
        <w:b/>
        <w:bCs/>
        <w:sz w:val="21"/>
        <w:szCs w:val="21"/>
        <w:lang w:eastAsia="zh-CN"/>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-298450</wp:posOffset>
          </wp:positionV>
          <wp:extent cx="537845" cy="509905"/>
          <wp:effectExtent l="0" t="0" r="14605" b="444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:监理月报第4期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4471C"/>
    <w:multiLevelType w:val="singleLevel"/>
    <w:tmpl w:val="9974471C"/>
    <w:lvl w:ilvl="0" w:tentative="0">
      <w:start w:val="1"/>
      <w:numFmt w:val="decimal"/>
      <w:suff w:val="nothing"/>
      <w:lvlText w:val="%1、"/>
      <w:lvlJc w:val="left"/>
    </w:lvl>
  </w:abstractNum>
  <w:abstractNum w:abstractNumId="1">
    <w:nsid w:val="C6600639"/>
    <w:multiLevelType w:val="singleLevel"/>
    <w:tmpl w:val="C6600639"/>
    <w:lvl w:ilvl="0" w:tentative="0">
      <w:start w:val="1"/>
      <w:numFmt w:val="decimal"/>
      <w:suff w:val="nothing"/>
      <w:lvlText w:val="%1、"/>
      <w:lvlJc w:val="left"/>
    </w:lvl>
  </w:abstractNum>
  <w:abstractNum w:abstractNumId="2">
    <w:nsid w:val="DCBA0917"/>
    <w:multiLevelType w:val="singleLevel"/>
    <w:tmpl w:val="DCBA0917"/>
    <w:lvl w:ilvl="0" w:tentative="0">
      <w:start w:val="1"/>
      <w:numFmt w:val="decimal"/>
      <w:suff w:val="nothing"/>
      <w:lvlText w:val="%1、"/>
      <w:lvlJc w:val="left"/>
    </w:lvl>
  </w:abstractNum>
  <w:abstractNum w:abstractNumId="3">
    <w:nsid w:val="E8FAFD00"/>
    <w:multiLevelType w:val="singleLevel"/>
    <w:tmpl w:val="E8FAFD00"/>
    <w:lvl w:ilvl="0" w:tentative="0">
      <w:start w:val="1"/>
      <w:numFmt w:val="decimal"/>
      <w:suff w:val="nothing"/>
      <w:lvlText w:val="%1、"/>
      <w:lvlJc w:val="left"/>
    </w:lvl>
  </w:abstractNum>
  <w:abstractNum w:abstractNumId="4">
    <w:nsid w:val="25E74782"/>
    <w:multiLevelType w:val="multilevel"/>
    <w:tmpl w:val="25E74782"/>
    <w:lvl w:ilvl="0" w:tentative="0">
      <w:start w:val="1"/>
      <w:numFmt w:val="japaneseCounting"/>
      <w:lvlText w:val="%1、"/>
      <w:lvlJc w:val="left"/>
      <w:pPr>
        <w:ind w:left="462" w:hanging="360"/>
      </w:pPr>
      <w:rPr>
        <w:rFonts w:hint="default"/>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abstractNum w:abstractNumId="5">
    <w:nsid w:val="5B052C12"/>
    <w:multiLevelType w:val="singleLevel"/>
    <w:tmpl w:val="5B052C12"/>
    <w:lvl w:ilvl="0" w:tentative="0">
      <w:start w:val="1"/>
      <w:numFmt w:val="decimal"/>
      <w:suff w:val="nothing"/>
      <w:lvlText w:val="%1、"/>
      <w:lvlJc w:val="left"/>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zZjE5YzcwZjc2MGE2NjY1MDUzMjdhZGE0MmI4NGEifQ=="/>
  </w:docVars>
  <w:rsids>
    <w:rsidRoot w:val="36AF38ED"/>
    <w:rsid w:val="00663AD7"/>
    <w:rsid w:val="02247EF7"/>
    <w:rsid w:val="02552C62"/>
    <w:rsid w:val="025723F2"/>
    <w:rsid w:val="025E2C93"/>
    <w:rsid w:val="02D06A9A"/>
    <w:rsid w:val="030036C1"/>
    <w:rsid w:val="075C6001"/>
    <w:rsid w:val="07C07841"/>
    <w:rsid w:val="07EB78C9"/>
    <w:rsid w:val="0AE52E7C"/>
    <w:rsid w:val="0AFD314B"/>
    <w:rsid w:val="0C751C8D"/>
    <w:rsid w:val="0CFA725E"/>
    <w:rsid w:val="0DB6235B"/>
    <w:rsid w:val="0E213D89"/>
    <w:rsid w:val="11F357BB"/>
    <w:rsid w:val="12F03CA5"/>
    <w:rsid w:val="141B4894"/>
    <w:rsid w:val="160F74CE"/>
    <w:rsid w:val="16624276"/>
    <w:rsid w:val="16942018"/>
    <w:rsid w:val="169C15C9"/>
    <w:rsid w:val="174B3B8F"/>
    <w:rsid w:val="181B1C83"/>
    <w:rsid w:val="1A454B7F"/>
    <w:rsid w:val="1AED60D5"/>
    <w:rsid w:val="1B430AA0"/>
    <w:rsid w:val="1BE53A6C"/>
    <w:rsid w:val="1C1C44D2"/>
    <w:rsid w:val="1C7969C2"/>
    <w:rsid w:val="1CAB63A8"/>
    <w:rsid w:val="1CC741A9"/>
    <w:rsid w:val="1E6961DE"/>
    <w:rsid w:val="1F710702"/>
    <w:rsid w:val="1FCD44E8"/>
    <w:rsid w:val="2135706E"/>
    <w:rsid w:val="24115A16"/>
    <w:rsid w:val="26DC08CF"/>
    <w:rsid w:val="27BE2271"/>
    <w:rsid w:val="27F74723"/>
    <w:rsid w:val="2A152C44"/>
    <w:rsid w:val="2A846C52"/>
    <w:rsid w:val="2CDA728E"/>
    <w:rsid w:val="2DA65566"/>
    <w:rsid w:val="2E1E189B"/>
    <w:rsid w:val="2FB63A73"/>
    <w:rsid w:val="301538B1"/>
    <w:rsid w:val="325307D8"/>
    <w:rsid w:val="34846B3F"/>
    <w:rsid w:val="34B533BC"/>
    <w:rsid w:val="36AF38ED"/>
    <w:rsid w:val="39C71E21"/>
    <w:rsid w:val="39D10E07"/>
    <w:rsid w:val="3A26645C"/>
    <w:rsid w:val="3B0C6DB3"/>
    <w:rsid w:val="3BEF5CD9"/>
    <w:rsid w:val="3D19407B"/>
    <w:rsid w:val="3D99490E"/>
    <w:rsid w:val="3DCB5A34"/>
    <w:rsid w:val="3F44756A"/>
    <w:rsid w:val="40D9212F"/>
    <w:rsid w:val="41920F07"/>
    <w:rsid w:val="41B469CF"/>
    <w:rsid w:val="42370B06"/>
    <w:rsid w:val="4443736B"/>
    <w:rsid w:val="444E2552"/>
    <w:rsid w:val="47D76D83"/>
    <w:rsid w:val="480A4069"/>
    <w:rsid w:val="48634F46"/>
    <w:rsid w:val="495D266F"/>
    <w:rsid w:val="49EE3BD6"/>
    <w:rsid w:val="4B3D592E"/>
    <w:rsid w:val="4D726514"/>
    <w:rsid w:val="4E493D62"/>
    <w:rsid w:val="4F7C1331"/>
    <w:rsid w:val="4F7D393A"/>
    <w:rsid w:val="50DD36B9"/>
    <w:rsid w:val="520C1E13"/>
    <w:rsid w:val="52BC1849"/>
    <w:rsid w:val="52C74BD6"/>
    <w:rsid w:val="533D3C46"/>
    <w:rsid w:val="5492228F"/>
    <w:rsid w:val="54B75197"/>
    <w:rsid w:val="580A2115"/>
    <w:rsid w:val="58BE3319"/>
    <w:rsid w:val="592B2D38"/>
    <w:rsid w:val="5AB64194"/>
    <w:rsid w:val="618907F8"/>
    <w:rsid w:val="62060844"/>
    <w:rsid w:val="623B2224"/>
    <w:rsid w:val="625F7F08"/>
    <w:rsid w:val="63C316DE"/>
    <w:rsid w:val="642A3526"/>
    <w:rsid w:val="660A2D57"/>
    <w:rsid w:val="665E7980"/>
    <w:rsid w:val="670F2101"/>
    <w:rsid w:val="676838D1"/>
    <w:rsid w:val="6A4E3F42"/>
    <w:rsid w:val="6BC228BB"/>
    <w:rsid w:val="6BEE0A38"/>
    <w:rsid w:val="6C5F00A0"/>
    <w:rsid w:val="6D9103A8"/>
    <w:rsid w:val="6DF73D06"/>
    <w:rsid w:val="6E9904B6"/>
    <w:rsid w:val="6EDF1B8A"/>
    <w:rsid w:val="70B71E11"/>
    <w:rsid w:val="730604D6"/>
    <w:rsid w:val="741C55C4"/>
    <w:rsid w:val="76E96A74"/>
    <w:rsid w:val="7B09164E"/>
    <w:rsid w:val="7CA822DD"/>
    <w:rsid w:val="7DF57832"/>
    <w:rsid w:val="7E910834"/>
    <w:rsid w:val="7F3A6E3C"/>
    <w:rsid w:val="7F757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paragraph" w:styleId="3">
    <w:name w:val="heading 3"/>
    <w:basedOn w:val="1"/>
    <w:next w:val="1"/>
    <w:qFormat/>
    <w:uiPriority w:val="0"/>
    <w:pPr>
      <w:keepNext/>
      <w:keepLines/>
      <w:spacing w:before="260" w:beforeLines="0" w:beforeAutospacing="0" w:after="260" w:afterLines="0" w:afterAutospacing="0" w:line="413" w:lineRule="auto"/>
      <w:outlineLvl w:val="2"/>
    </w:pPr>
    <w:rPr>
      <w:b/>
      <w:kern w:val="0"/>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List Paragraph"/>
    <w:basedOn w:val="1"/>
    <w:qFormat/>
    <w:uiPriority w:val="34"/>
    <w:pPr>
      <w:ind w:firstLine="420" w:firstLineChars="200"/>
    </w:pPr>
  </w:style>
  <w:style w:type="paragraph" w:customStyle="1" w:styleId="10">
    <w:name w:val="样式4"/>
    <w:basedOn w:val="1"/>
    <w:uiPriority w:val="0"/>
    <w:pPr>
      <w:tabs>
        <w:tab w:val="left" w:pos="366"/>
        <w:tab w:val="left" w:pos="720"/>
      </w:tabs>
      <w:topLinePunct/>
      <w:ind w:firstLine="425"/>
    </w:pPr>
    <w:rPr>
      <w:rFonts w:eastAsia="黑体"/>
      <w:bCs/>
      <w:caps/>
      <w:kern w:val="21"/>
      <w:szCs w:val="21"/>
    </w:rPr>
  </w:style>
  <w:style w:type="paragraph" w:customStyle="1" w:styleId="11">
    <w:name w:val="样式5"/>
    <w:basedOn w:val="1"/>
    <w:qFormat/>
    <w:uiPriority w:val="0"/>
    <w:pPr>
      <w:topLinePunct/>
      <w:adjustRightInd w:val="0"/>
      <w:spacing w:line="1200" w:lineRule="auto"/>
      <w:jc w:val="center"/>
    </w:pPr>
    <w:rPr>
      <w:rFonts w:ascii="宋体" w:hAnsi="宋体" w:eastAsia="黑体"/>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2111</Words>
  <Characters>2179</Characters>
  <Lines>0</Lines>
  <Paragraphs>0</Paragraphs>
  <TotalTime>166</TotalTime>
  <ScaleCrop>false</ScaleCrop>
  <LinksUpToDate>false</LinksUpToDate>
  <CharactersWithSpaces>2271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2021-08-02T23:49:00Z</dcterms:created>
  <dc:creator>光伏EPC</dc:creator>
  <cp:lastModifiedBy>5481</cp:lastModifiedBy>
  <cp:lastPrinted>2022-05-05T01:59:00Z</cp:lastPrinted>
  <dcterms:modified xsi:type="dcterms:W3CDTF">2022-08-30T08:45:39Z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122C3FDCB69148289999490493C333C0</vt:lpwstr>
  </property>
</Properties>
</file>